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Normal.0"/>
        <w:spacing w:line="360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Face-down positioning versus no face-down positioning in large macular holes after vitrectomy with inverted internal limiting membrane (ILM) flap technique.</w:t>
      </w:r>
    </w:p>
    <w:p>
      <w:pPr>
        <w:pStyle w:val="Normal.0"/>
        <w:spacing w:line="360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Authors; Adam Klu</w:t>
      </w:r>
      <w:r>
        <w:rPr>
          <w:rFonts w:ascii="Arial" w:hAnsi="Arial" w:hint="default"/>
          <w:rtl w:val="0"/>
          <w:lang w:val="en-US"/>
        </w:rPr>
        <w:t>ś</w:t>
      </w:r>
      <w:r>
        <w:rPr>
          <w:rFonts w:ascii="Arial" w:hAnsi="Arial"/>
          <w:rtl w:val="0"/>
          <w:lang w:val="en-US"/>
        </w:rPr>
        <w:t>, Mariusz Kosatka, Milena Kozera, Marek R</w:t>
      </w:r>
      <w:r>
        <w:rPr>
          <w:rFonts w:ascii="Arial" w:hAnsi="Arial" w:hint="default"/>
          <w:rtl w:val="0"/>
          <w:lang w:val="en-US"/>
        </w:rPr>
        <w:t>ę</w:t>
      </w:r>
      <w:r>
        <w:rPr>
          <w:rFonts w:ascii="Arial" w:hAnsi="Arial"/>
          <w:rtl w:val="0"/>
          <w:lang w:val="en-US"/>
        </w:rPr>
        <w:t>kas</w:t>
      </w:r>
    </w:p>
    <w:p>
      <w:pPr>
        <w:pStyle w:val="Normal.0"/>
        <w:spacing w:after="0" w:line="36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Department of Ophthalmology of the Military Institute of Medicine, Warsaw </w:t>
      </w:r>
    </w:p>
    <w:p>
      <w:pPr>
        <w:pStyle w:val="Normal.0"/>
        <w:spacing w:after="0" w:line="360" w:lineRule="auto"/>
        <w:rPr>
          <w:rFonts w:ascii="Arial" w:cs="Arial" w:hAnsi="Arial" w:eastAsia="Arial"/>
          <w:lang w:val="en-US"/>
        </w:rPr>
      </w:pPr>
    </w:p>
    <w:p>
      <w:pPr>
        <w:pStyle w:val="Normal.0"/>
        <w:spacing w:after="0" w:line="36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Purpose: </w:t>
      </w:r>
      <w:r>
        <w:rPr>
          <w:rFonts w:ascii="Arial" w:hAnsi="Arial"/>
          <w:shd w:val="clear" w:color="auto" w:fill="ffffff"/>
          <w:rtl w:val="0"/>
          <w:lang w:val="en-US"/>
        </w:rPr>
        <w:t>To evaluate the large full-thickness</w:t>
      </w:r>
      <w:r>
        <w:rPr>
          <w:rFonts w:ascii="Arial" w:hAnsi="Arial" w:hint="default"/>
          <w:shd w:val="clear" w:color="auto" w:fill="ffffff"/>
          <w:rtl w:val="0"/>
          <w:lang w:val="en-US"/>
        </w:rPr>
        <w:t> </w:t>
      </w:r>
      <w:r>
        <w:rPr>
          <w:rFonts w:ascii="Arial" w:hAnsi="Arial"/>
          <w:shd w:val="clear" w:color="auto" w:fill="ffffff"/>
          <w:rtl w:val="0"/>
          <w:lang w:val="en-US"/>
        </w:rPr>
        <w:t>macular hole</w:t>
      </w:r>
      <w:r>
        <w:rPr>
          <w:rFonts w:ascii="Arial" w:hAnsi="Arial" w:hint="default"/>
          <w:shd w:val="clear" w:color="auto" w:fill="ffffff"/>
          <w:rtl w:val="0"/>
          <w:lang w:val="en-US"/>
        </w:rPr>
        <w:t> </w:t>
      </w:r>
      <w:r>
        <w:rPr>
          <w:rFonts w:ascii="Arial" w:hAnsi="Arial"/>
          <w:shd w:val="clear" w:color="auto" w:fill="ffffff"/>
          <w:rtl w:val="0"/>
          <w:lang w:val="en-US"/>
        </w:rPr>
        <w:t>(FTMH) closure rate in patients</w:t>
      </w:r>
      <w:r>
        <w:rPr>
          <w:rFonts w:ascii="Arial" w:hAnsi="Arial" w:hint="default"/>
          <w:shd w:val="clear" w:color="auto" w:fill="ffffff"/>
          <w:rtl w:val="0"/>
          <w:lang w:val="en-US"/>
        </w:rPr>
        <w:t> </w:t>
      </w:r>
      <w:r>
        <w:rPr>
          <w:rFonts w:ascii="Arial" w:hAnsi="Arial"/>
          <w:shd w:val="clear" w:color="auto" w:fill="ffffff"/>
          <w:rtl w:val="0"/>
          <w:lang w:val="en-US"/>
        </w:rPr>
        <w:t>non face down positioning</w:t>
      </w:r>
      <w:r>
        <w:rPr>
          <w:rFonts w:ascii="Arial" w:hAnsi="Arial" w:hint="default"/>
          <w:shd w:val="clear" w:color="auto" w:fill="ffffff"/>
          <w:rtl w:val="0"/>
          <w:lang w:val="en-US"/>
        </w:rPr>
        <w:t> </w:t>
      </w:r>
      <w:r>
        <w:rPr>
          <w:rFonts w:ascii="Arial" w:hAnsi="Arial"/>
          <w:shd w:val="clear" w:color="auto" w:fill="ffffff"/>
          <w:rtl w:val="0"/>
          <w:lang w:val="en-US"/>
        </w:rPr>
        <w:t>(NFDP) compared with patients</w:t>
      </w:r>
      <w:r>
        <w:rPr>
          <w:rFonts w:ascii="Arial" w:hAnsi="Arial" w:hint="default"/>
          <w:shd w:val="clear" w:color="auto" w:fill="ffffff"/>
          <w:rtl w:val="0"/>
          <w:lang w:val="en-US"/>
        </w:rPr>
        <w:t> </w:t>
      </w:r>
      <w:r>
        <w:rPr>
          <w:rFonts w:ascii="Arial" w:hAnsi="Arial"/>
          <w:shd w:val="clear" w:color="auto" w:fill="ffffff"/>
          <w:rtl w:val="0"/>
          <w:lang w:val="en-US"/>
        </w:rPr>
        <w:t>positioning</w:t>
      </w:r>
      <w:r>
        <w:rPr>
          <w:rFonts w:ascii="Arial" w:hAnsi="Arial" w:hint="default"/>
          <w:shd w:val="clear" w:color="auto" w:fill="ffffff"/>
          <w:rtl w:val="0"/>
          <w:lang w:val="en-US"/>
        </w:rPr>
        <w:t> </w:t>
      </w:r>
      <w:r>
        <w:rPr>
          <w:rFonts w:ascii="Arial" w:hAnsi="Arial"/>
          <w:shd w:val="clear" w:color="auto" w:fill="ffffff"/>
          <w:rtl w:val="0"/>
          <w:lang w:val="en-US"/>
        </w:rPr>
        <w:t xml:space="preserve">face-down (FDP) </w:t>
      </w:r>
      <w:r>
        <w:rPr>
          <w:rFonts w:ascii="Arial" w:hAnsi="Arial"/>
          <w:rtl w:val="0"/>
          <w:lang w:val="en-US"/>
        </w:rPr>
        <w:t>in  treatment of macular hole using an inverted internal limiting membrane (ILM) flap technique</w:t>
      </w:r>
      <w:r>
        <w:rPr>
          <w:rFonts w:ascii="Arial" w:hAnsi="Arial"/>
          <w:color w:val="222222"/>
          <w:u w:color="222222"/>
          <w:rtl w:val="0"/>
          <w:lang w:val="en-US"/>
        </w:rPr>
        <w:t>.</w:t>
      </w:r>
    </w:p>
    <w:p>
      <w:pPr>
        <w:pStyle w:val="Normal.0"/>
        <w:spacing w:after="0" w:line="360" w:lineRule="auto"/>
        <w:rPr>
          <w:rFonts w:ascii="Arial" w:cs="Arial" w:hAnsi="Arial" w:eastAsia="Arial"/>
          <w:lang w:val="en-US"/>
        </w:rPr>
      </w:pPr>
    </w:p>
    <w:p>
      <w:pPr>
        <w:pStyle w:val="Normal.0"/>
        <w:spacing w:line="360" w:lineRule="auto"/>
        <w:jc w:val="both"/>
        <w:rPr>
          <w:rFonts w:ascii="Arial" w:cs="Arial" w:hAnsi="Arial" w:eastAsia="Arial"/>
          <w:color w:val="222222"/>
          <w:u w:color="222222"/>
        </w:rPr>
      </w:pPr>
      <w:r>
        <w:rPr>
          <w:rFonts w:ascii="Arial" w:hAnsi="Arial"/>
          <w:color w:val="222222"/>
          <w:u w:color="222222"/>
          <w:rtl w:val="0"/>
          <w:lang w:val="en-US"/>
        </w:rPr>
        <w:t xml:space="preserve">Methods: The prospective, uncontrolled, interventional case series study included 40 patients with full-thickness macular hole (FTMH). All subjects underwent 25G pars plana vitrectomy (PPV) with inverted ILM flap technique with gas SF6 tamponade. In cases with coexisting cataract one-session phacoemulsification was performed. The patients were divided into two groups: group I - for 20 eyes postoperative FDP (FDP- face down positioning) was used , group II </w:t>
      </w:r>
      <w:r>
        <w:rPr>
          <w:rFonts w:ascii="Arial" w:hAnsi="Arial" w:hint="default"/>
          <w:color w:val="222222"/>
          <w:u w:color="222222"/>
          <w:rtl w:val="0"/>
          <w:lang w:val="en-US"/>
        </w:rPr>
        <w:t xml:space="preserve">– </w:t>
      </w:r>
      <w:r>
        <w:rPr>
          <w:rFonts w:ascii="Arial" w:hAnsi="Arial"/>
          <w:color w:val="222222"/>
          <w:u w:color="222222"/>
          <w:rtl w:val="0"/>
          <w:lang w:val="en-US"/>
        </w:rPr>
        <w:t>for 20 eyes no postoperative FDP (NFDP- no face down positioning)used . Subject of the analysis: closure or non closure FTMH, type of macular hole closure and corrected distance visual acuity (CDVA). The follow-up was 3 month.</w:t>
      </w:r>
    </w:p>
    <w:p>
      <w:pPr>
        <w:pStyle w:val="Normal.0"/>
        <w:spacing w:line="360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Results: The average MH basal diameter was &gt;400 </w:t>
      </w:r>
      <w:r>
        <w:rPr>
          <w:rFonts w:ascii="Arial" w:hAnsi="Arial" w:hint="default"/>
          <w:rtl w:val="0"/>
          <w:lang w:val="en-US"/>
        </w:rPr>
        <w:t>µ</w:t>
      </w:r>
      <w:r>
        <w:rPr>
          <w:rFonts w:ascii="Arial" w:hAnsi="Arial"/>
          <w:rtl w:val="0"/>
          <w:lang w:val="en-US"/>
        </w:rPr>
        <w:t>m in both group. In group I MH closure rate was in 20 eyes (100%). In group II MH closure rate was in 18 eyes (90%). Preoperative CDVA was on average 0,1 in both group. Postoperative CDVA in group I improved to 0,15 and in group II improved to 0,3 during 3 month after surgery. There</w:t>
      </w:r>
      <w:r>
        <w:rPr>
          <w:rFonts w:ascii="Arial" w:hAnsi="Arial"/>
          <w:i w:val="1"/>
          <w:iCs w:val="1"/>
          <w:rtl w:val="0"/>
          <w:lang w:val="en-US"/>
        </w:rPr>
        <w:t xml:space="preserve"> </w:t>
      </w:r>
      <w:r>
        <w:rPr>
          <w:rFonts w:ascii="Arial" w:hAnsi="Arial"/>
          <w:rtl w:val="0"/>
          <w:lang w:val="en-US"/>
        </w:rPr>
        <w:t>was</w:t>
      </w:r>
      <w:r>
        <w:rPr>
          <w:rFonts w:ascii="Arial" w:hAnsi="Arial"/>
          <w:i w:val="1"/>
          <w:iCs w:val="1"/>
          <w:rtl w:val="0"/>
          <w:lang w:val="en-US"/>
        </w:rPr>
        <w:t xml:space="preserve"> </w:t>
      </w:r>
      <w:r>
        <w:rPr>
          <w:rFonts w:ascii="Arial" w:hAnsi="Arial"/>
          <w:rtl w:val="0"/>
          <w:lang w:val="en-US"/>
        </w:rPr>
        <w:t>statistical difference</w:t>
      </w:r>
      <w:r>
        <w:rPr>
          <w:rFonts w:ascii="Arial" w:hAnsi="Arial"/>
          <w:i w:val="1"/>
          <w:iCs w:val="1"/>
          <w:rtl w:val="0"/>
          <w:lang w:val="en-US"/>
        </w:rPr>
        <w:t xml:space="preserve"> </w:t>
      </w:r>
      <w:r>
        <w:rPr>
          <w:rFonts w:ascii="Arial" w:hAnsi="Arial"/>
          <w:rtl w:val="0"/>
          <w:lang w:val="en-US"/>
        </w:rPr>
        <w:t xml:space="preserve">in CDVA between two groups after the surgery. The type shape of macular hole closure in group I was mainly </w:t>
      </w:r>
      <w:r>
        <w:rPr>
          <w:rFonts w:ascii="Arial" w:hAnsi="Arial" w:hint="default"/>
          <w:rtl w:val="0"/>
          <w:lang w:val="en-US"/>
        </w:rPr>
        <w:t>“</w:t>
      </w:r>
      <w:r>
        <w:rPr>
          <w:rFonts w:ascii="Arial" w:hAnsi="Arial"/>
          <w:rtl w:val="0"/>
          <w:lang w:val="en-US"/>
        </w:rPr>
        <w:t>V-type</w:t>
      </w:r>
      <w:r>
        <w:rPr>
          <w:rFonts w:ascii="Arial" w:hAnsi="Arial" w:hint="default"/>
          <w:rtl w:val="0"/>
          <w:lang w:val="en-US"/>
        </w:rPr>
        <w:t xml:space="preserve">” </w:t>
      </w:r>
      <w:r>
        <w:rPr>
          <w:rFonts w:ascii="Arial" w:hAnsi="Arial"/>
          <w:rtl w:val="0"/>
          <w:lang w:val="en-US"/>
        </w:rPr>
        <w:t xml:space="preserve">and in group II was </w:t>
      </w:r>
      <w:r>
        <w:rPr>
          <w:rFonts w:ascii="Arial" w:hAnsi="Arial" w:hint="default"/>
          <w:rtl w:val="0"/>
          <w:lang w:val="en-US"/>
        </w:rPr>
        <w:t>“</w:t>
      </w:r>
      <w:r>
        <w:rPr>
          <w:rFonts w:ascii="Arial" w:hAnsi="Arial"/>
          <w:rtl w:val="0"/>
          <w:lang w:val="en-US"/>
        </w:rPr>
        <w:t>U-type</w:t>
      </w:r>
      <w:r>
        <w:rPr>
          <w:rFonts w:ascii="Arial" w:hAnsi="Arial" w:hint="default"/>
          <w:rtl w:val="0"/>
          <w:lang w:val="en-US"/>
        </w:rPr>
        <w:t>”</w:t>
      </w:r>
      <w:r>
        <w:rPr>
          <w:rFonts w:ascii="Arial" w:hAnsi="Arial"/>
          <w:rtl w:val="0"/>
          <w:lang w:val="en-US"/>
        </w:rPr>
        <w:t>. No significant postoperative complications were observed in both groups.</w:t>
      </w:r>
    </w:p>
    <w:p>
      <w:pPr>
        <w:pStyle w:val="Normal.0"/>
        <w:spacing w:line="360" w:lineRule="auto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Conclusions: The usage of FDP and NFDP after  the surgical treatment of large macular hole using an inverted flap ILM is an effective and safe surgical technique. However, a larger study group is required to evaluate this method further. </w:t>
      </w:r>
    </w:p>
    <w:p>
      <w:pPr>
        <w:pStyle w:val="Normal.0"/>
        <w:spacing w:line="360" w:lineRule="auto"/>
        <w:jc w:val="both"/>
        <w:rPr>
          <w:rFonts w:ascii="Times New Roman" w:cs="Times New Roman" w:hAnsi="Times New Roman" w:eastAsia="Times New Roman"/>
          <w:lang w:val="en-US"/>
        </w:rPr>
      </w:pPr>
    </w:p>
    <w:p>
      <w:pPr>
        <w:pStyle w:val="Normal.0"/>
        <w:spacing w:line="360" w:lineRule="auto"/>
        <w:jc w:val="both"/>
        <w:rPr>
          <w:rFonts w:ascii="Times New Roman" w:cs="Times New Roman" w:hAnsi="Times New Roman" w:eastAsia="Times New Roman"/>
          <w:lang w:val="en-US"/>
        </w:rPr>
      </w:pPr>
    </w:p>
    <w:p>
      <w:pPr>
        <w:pStyle w:val="Normal.0"/>
        <w:spacing w:line="360" w:lineRule="auto"/>
        <w:jc w:val="both"/>
      </w:pPr>
      <w:r>
        <w:rPr>
          <w:rFonts w:ascii="Times New Roman" w:cs="Times New Roman" w:hAnsi="Times New Roman" w:eastAsia="Times New Roman"/>
          <w:lang w:val="en-US"/>
        </w:rPr>
      </w:r>
    </w:p>
    <w:sectPr>
      <w:headerReference w:type="default" r:id="rId4"/>
      <w:footerReference w:type="default" r:id="rId5"/>
      <w:pgSz w:w="11900" w:h="16840" w:orient="portrait"/>
      <w:pgMar w:top="1440" w:right="1080" w:bottom="1440" w:left="108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