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CC6" w:rsidRPr="00676CC6" w:rsidRDefault="00676CC6" w:rsidP="00676CC6">
      <w:pPr>
        <w:pStyle w:val="BodyText"/>
        <w:spacing w:before="73" w:line="198" w:lineRule="exact"/>
        <w:ind w:left="100" w:right="5987"/>
        <w:jc w:val="both"/>
        <w:rPr>
          <w:sz w:val="28"/>
          <w:szCs w:val="28"/>
        </w:rPr>
      </w:pPr>
      <w:r>
        <w:rPr>
          <w:noProof/>
          <w:sz w:val="28"/>
          <w:szCs w:val="28"/>
          <w:lang w:eastAsia="zh-CN"/>
        </w:rPr>
        <mc:AlternateContent>
          <mc:Choice Requires="wps">
            <w:drawing>
              <wp:anchor distT="0" distB="0" distL="114300" distR="114300" simplePos="0" relativeHeight="251659264" behindDoc="0" locked="0" layoutInCell="1" allowOverlap="1">
                <wp:simplePos x="0" y="0"/>
                <wp:positionH relativeFrom="column">
                  <wp:posOffset>320675</wp:posOffset>
                </wp:positionH>
                <wp:positionV relativeFrom="paragraph">
                  <wp:posOffset>-552450</wp:posOffset>
                </wp:positionV>
                <wp:extent cx="6285865" cy="566420"/>
                <wp:effectExtent l="0" t="0" r="19685" b="24130"/>
                <wp:wrapNone/>
                <wp:docPr id="2" name="Text Box 2"/>
                <wp:cNvGraphicFramePr/>
                <a:graphic xmlns:a="http://schemas.openxmlformats.org/drawingml/2006/main">
                  <a:graphicData uri="http://schemas.microsoft.com/office/word/2010/wordprocessingShape">
                    <wps:wsp>
                      <wps:cNvSpPr txBox="1"/>
                      <wps:spPr>
                        <a:xfrm>
                          <a:off x="0" y="0"/>
                          <a:ext cx="6285865" cy="566420"/>
                        </a:xfrm>
                        <a:prstGeom prst="rect">
                          <a:avLst/>
                        </a:prstGeom>
                        <a:ln/>
                      </wps:spPr>
                      <wps:style>
                        <a:lnRef idx="2">
                          <a:schemeClr val="dk1"/>
                        </a:lnRef>
                        <a:fillRef idx="1">
                          <a:schemeClr val="lt1"/>
                        </a:fillRef>
                        <a:effectRef idx="0">
                          <a:schemeClr val="dk1"/>
                        </a:effectRef>
                        <a:fontRef idx="minor">
                          <a:schemeClr val="dk1"/>
                        </a:fontRef>
                      </wps:style>
                      <wps:txbx>
                        <w:txbxContent>
                          <w:p w:rsidR="00134333" w:rsidRPr="00630C31" w:rsidRDefault="00134333">
                            <w:pPr>
                              <w:rPr>
                                <w:b/>
                                <w:sz w:val="28"/>
                                <w:szCs w:val="28"/>
                              </w:rPr>
                            </w:pPr>
                            <w:r w:rsidRPr="00630C31">
                              <w:rPr>
                                <w:b/>
                                <w:sz w:val="28"/>
                                <w:szCs w:val="28"/>
                              </w:rPr>
                              <w:t xml:space="preserve">A Retrospective Case Study </w:t>
                            </w:r>
                            <w:r w:rsidR="00630C31" w:rsidRPr="00630C31">
                              <w:rPr>
                                <w:b/>
                                <w:sz w:val="28"/>
                                <w:szCs w:val="28"/>
                              </w:rPr>
                              <w:t>on</w:t>
                            </w:r>
                            <w:r w:rsidRPr="00630C31">
                              <w:rPr>
                                <w:b/>
                                <w:sz w:val="28"/>
                                <w:szCs w:val="28"/>
                              </w:rPr>
                              <w:t xml:space="preserve"> the Impact </w:t>
                            </w:r>
                            <w:r w:rsidR="00630C31" w:rsidRPr="00630C31">
                              <w:rPr>
                                <w:b/>
                                <w:sz w:val="28"/>
                                <w:szCs w:val="28"/>
                              </w:rPr>
                              <w:t>of</w:t>
                            </w:r>
                            <w:r w:rsidRPr="00630C31">
                              <w:rPr>
                                <w:b/>
                                <w:sz w:val="28"/>
                                <w:szCs w:val="28"/>
                              </w:rPr>
                              <w:t xml:space="preserve"> SIGN Guidelines </w:t>
                            </w:r>
                            <w:r w:rsidR="00630C31">
                              <w:rPr>
                                <w:b/>
                                <w:sz w:val="28"/>
                                <w:szCs w:val="28"/>
                              </w:rPr>
                              <w:t xml:space="preserve">144 </w:t>
                            </w:r>
                            <w:r w:rsidR="00630C31" w:rsidRPr="00630C31">
                              <w:rPr>
                                <w:b/>
                                <w:sz w:val="28"/>
                                <w:szCs w:val="28"/>
                              </w:rPr>
                              <w:t>on</w:t>
                            </w:r>
                            <w:r w:rsidRPr="00630C31">
                              <w:rPr>
                                <w:b/>
                                <w:sz w:val="28"/>
                                <w:szCs w:val="28"/>
                              </w:rPr>
                              <w:t xml:space="preserve"> Quality of Glaucoma Referrals </w:t>
                            </w:r>
                            <w:proofErr w:type="gramStart"/>
                            <w:r w:rsidRPr="00630C31">
                              <w:rPr>
                                <w:b/>
                                <w:sz w:val="28"/>
                                <w:szCs w:val="28"/>
                              </w:rPr>
                              <w:t>From</w:t>
                            </w:r>
                            <w:proofErr w:type="gramEnd"/>
                            <w:r w:rsidRPr="00630C31">
                              <w:rPr>
                                <w:b/>
                                <w:sz w:val="28"/>
                                <w:szCs w:val="28"/>
                              </w:rPr>
                              <w:t xml:space="preserve"> Communit</w:t>
                            </w:r>
                            <w:r w:rsidR="00630C31">
                              <w:rPr>
                                <w:b/>
                                <w:sz w:val="28"/>
                                <w:szCs w:val="28"/>
                              </w:rPr>
                              <w:t>y Optometrists to The Hospital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25pt;margin-top:-43.5pt;width:494.95pt;height:44.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" fillcolor="white [3201]" strokecolor="black [3200]" strokeweight="2pt">
                <v:textbox>
                  <w:txbxContent>
                    <w:p w:rsidR="00134333" w:rsidRPr="00630C31" w:rsidRDefault="00134333">
                      <w:pPr>
                        <w:rPr>
                          <w:b/>
                          <w:sz w:val="28"/>
                          <w:szCs w:val="28"/>
                        </w:rPr>
                      </w:pPr>
                      <w:r w:rsidRPr="00630C31">
                        <w:rPr>
                          <w:b/>
                          <w:sz w:val="28"/>
                          <w:szCs w:val="28"/>
                        </w:rPr>
                        <w:t xml:space="preserve">A Retrospective Case Study </w:t>
                      </w:r>
                      <w:r w:rsidR="00630C31" w:rsidRPr="00630C31">
                        <w:rPr>
                          <w:b/>
                          <w:sz w:val="28"/>
                          <w:szCs w:val="28"/>
                        </w:rPr>
                        <w:t>on</w:t>
                      </w:r>
                      <w:r w:rsidRPr="00630C31">
                        <w:rPr>
                          <w:b/>
                          <w:sz w:val="28"/>
                          <w:szCs w:val="28"/>
                        </w:rPr>
                        <w:t xml:space="preserve"> the Impact </w:t>
                      </w:r>
                      <w:r w:rsidR="00630C31" w:rsidRPr="00630C31">
                        <w:rPr>
                          <w:b/>
                          <w:sz w:val="28"/>
                          <w:szCs w:val="28"/>
                        </w:rPr>
                        <w:t>of</w:t>
                      </w:r>
                      <w:r w:rsidRPr="00630C31">
                        <w:rPr>
                          <w:b/>
                          <w:sz w:val="28"/>
                          <w:szCs w:val="28"/>
                        </w:rPr>
                        <w:t xml:space="preserve"> SIGN Guidelines </w:t>
                      </w:r>
                      <w:r w:rsidR="00630C31">
                        <w:rPr>
                          <w:b/>
                          <w:sz w:val="28"/>
                          <w:szCs w:val="28"/>
                        </w:rPr>
                        <w:t xml:space="preserve">144 </w:t>
                      </w:r>
                      <w:r w:rsidR="00630C31" w:rsidRPr="00630C31">
                        <w:rPr>
                          <w:b/>
                          <w:sz w:val="28"/>
                          <w:szCs w:val="28"/>
                        </w:rPr>
                        <w:t>on</w:t>
                      </w:r>
                      <w:r w:rsidRPr="00630C31">
                        <w:rPr>
                          <w:b/>
                          <w:sz w:val="28"/>
                          <w:szCs w:val="28"/>
                        </w:rPr>
                        <w:t xml:space="preserve"> Quality of Glaucoma Referrals </w:t>
                      </w:r>
                      <w:proofErr w:type="gramStart"/>
                      <w:r w:rsidRPr="00630C31">
                        <w:rPr>
                          <w:b/>
                          <w:sz w:val="28"/>
                          <w:szCs w:val="28"/>
                        </w:rPr>
                        <w:t>From</w:t>
                      </w:r>
                      <w:proofErr w:type="gramEnd"/>
                      <w:r w:rsidRPr="00630C31">
                        <w:rPr>
                          <w:b/>
                          <w:sz w:val="28"/>
                          <w:szCs w:val="28"/>
                        </w:rPr>
                        <w:t xml:space="preserve"> Communit</w:t>
                      </w:r>
                      <w:r w:rsidR="00630C31">
                        <w:rPr>
                          <w:b/>
                          <w:sz w:val="28"/>
                          <w:szCs w:val="28"/>
                        </w:rPr>
                        <w:t>y Optometrists to The Hospital</w:t>
                      </w:r>
                    </w:p>
                  </w:txbxContent>
                </v:textbox>
              </v:shape>
            </w:pict>
          </mc:Fallback>
        </mc:AlternateContent>
      </w:r>
    </w:p>
    <w:p w:rsidR="00AE3E37" w:rsidRPr="00561D2B" w:rsidRDefault="00AE3E37" w:rsidP="00561D2B">
      <w:pPr>
        <w:pStyle w:val="BodyText"/>
        <w:spacing w:before="3"/>
        <w:jc w:val="both"/>
        <w:rPr>
          <w:sz w:val="20"/>
          <w:szCs w:val="20"/>
        </w:rPr>
      </w:pPr>
    </w:p>
    <w:p w:rsidR="00AE3E37" w:rsidRPr="00A4416E" w:rsidRDefault="00B029D2" w:rsidP="00561D2B">
      <w:pPr>
        <w:ind w:firstLine="180"/>
        <w:jc w:val="both"/>
      </w:pPr>
      <w:r w:rsidRPr="00A4416E">
        <w:t xml:space="preserve">Authors: </w:t>
      </w:r>
      <w:r w:rsidR="00A4416E">
        <w:t xml:space="preserve"> </w:t>
      </w:r>
      <w:bookmarkStart w:id="0" w:name="_GoBack"/>
      <w:bookmarkEnd w:id="0"/>
      <w:r w:rsidRPr="00A4416E">
        <w:t xml:space="preserve">Samantha Sii, MD. Academic FY2, </w:t>
      </w:r>
      <w:proofErr w:type="spellStart"/>
      <w:r w:rsidRPr="00A4416E">
        <w:t>Moorfields</w:t>
      </w:r>
      <w:proofErr w:type="spellEnd"/>
      <w:r w:rsidRPr="00A4416E">
        <w:t xml:space="preserve"> Eye Hospital, London</w:t>
      </w:r>
      <w:r w:rsidR="00561D2B" w:rsidRPr="00A4416E">
        <w:t xml:space="preserve"> (presenting author)</w:t>
      </w:r>
    </w:p>
    <w:p w:rsidR="00B029D2" w:rsidRPr="00A4416E" w:rsidRDefault="00B029D2" w:rsidP="00561D2B">
      <w:pPr>
        <w:jc w:val="both"/>
      </w:pPr>
      <w:r w:rsidRPr="00A4416E">
        <w:t xml:space="preserve">               </w:t>
      </w:r>
      <w:r w:rsidR="00561D2B" w:rsidRPr="00A4416E">
        <w:t xml:space="preserve"> </w:t>
      </w:r>
      <w:r w:rsidRPr="00A4416E">
        <w:t>Ahmed Nasser, MD. FY2, St John’s Livingston Hospital, Scotland</w:t>
      </w:r>
    </w:p>
    <w:p w:rsidR="00B029D2" w:rsidRPr="00A4416E" w:rsidRDefault="00B029D2" w:rsidP="00561D2B">
      <w:pPr>
        <w:jc w:val="both"/>
      </w:pPr>
      <w:r w:rsidRPr="00A4416E">
        <w:tab/>
        <w:t xml:space="preserve">   </w:t>
      </w:r>
      <w:r w:rsidR="00A4416E">
        <w:t xml:space="preserve"> </w:t>
      </w:r>
      <w:r w:rsidRPr="00A4416E">
        <w:t xml:space="preserve">Loo Cheng Yi, </w:t>
      </w:r>
      <w:r w:rsidR="00561D2B" w:rsidRPr="00A4416E">
        <w:t>final year medical student, University of Edinburgh</w:t>
      </w:r>
    </w:p>
    <w:p w:rsidR="00561D2B" w:rsidRPr="00A4416E" w:rsidRDefault="00561D2B" w:rsidP="00561D2B">
      <w:pPr>
        <w:ind w:left="900" w:hanging="900"/>
        <w:jc w:val="both"/>
      </w:pPr>
      <w:r w:rsidRPr="00A4416E">
        <w:t xml:space="preserve">                </w:t>
      </w:r>
      <w:proofErr w:type="spellStart"/>
      <w:r w:rsidRPr="00A4416E">
        <w:t>Dr</w:t>
      </w:r>
      <w:proofErr w:type="spellEnd"/>
      <w:r w:rsidRPr="00A4416E">
        <w:t xml:space="preserve"> </w:t>
      </w:r>
      <w:proofErr w:type="spellStart"/>
      <w:r w:rsidRPr="00A4416E">
        <w:t>Pankaj</w:t>
      </w:r>
      <w:proofErr w:type="spellEnd"/>
      <w:r w:rsidRPr="00A4416E">
        <w:t xml:space="preserve"> Agarwal, </w:t>
      </w:r>
      <w:r w:rsidRPr="00A4416E">
        <w:t xml:space="preserve">MBBS, DO, </w:t>
      </w:r>
      <w:proofErr w:type="spellStart"/>
      <w:r w:rsidRPr="00A4416E">
        <w:t>FRCSEd</w:t>
      </w:r>
      <w:proofErr w:type="spellEnd"/>
      <w:r w:rsidRPr="00A4416E">
        <w:t xml:space="preserve">, </w:t>
      </w:r>
      <w:proofErr w:type="spellStart"/>
      <w:r w:rsidRPr="00A4416E">
        <w:t>FRCOphth</w:t>
      </w:r>
      <w:proofErr w:type="spellEnd"/>
      <w:r w:rsidRPr="00A4416E">
        <w:rPr>
          <w:color w:val="6F7175"/>
        </w:rPr>
        <w:t xml:space="preserve">, </w:t>
      </w:r>
      <w:r w:rsidRPr="00A4416E">
        <w:t xml:space="preserve">consultant ophthalmologist and glaucoma expert, Princess Alexandria Eye </w:t>
      </w:r>
      <w:proofErr w:type="spellStart"/>
      <w:r w:rsidRPr="00A4416E">
        <w:t>Pavillion</w:t>
      </w:r>
      <w:proofErr w:type="spellEnd"/>
      <w:r w:rsidRPr="00A4416E">
        <w:t>, Edinburgh, Scotland.</w:t>
      </w:r>
    </w:p>
    <w:p w:rsidR="00B029D2" w:rsidRPr="00A4416E" w:rsidRDefault="00B029D2">
      <w:pPr>
        <w:rPr>
          <w:rFonts w:ascii="Arial"/>
        </w:rPr>
      </w:pPr>
      <w:r w:rsidRPr="00A4416E">
        <w:rPr>
          <w:rFonts w:ascii="Arial"/>
        </w:rPr>
        <w:t xml:space="preserve">               </w:t>
      </w:r>
    </w:p>
    <w:p w:rsidR="00676CC6" w:rsidRDefault="00676CC6">
      <w:pPr>
        <w:rPr>
          <w:rFonts w:ascii="Arial"/>
          <w:sz w:val="21"/>
        </w:rPr>
      </w:pPr>
    </w:p>
    <w:p w:rsidR="00676CC6" w:rsidRDefault="00676CC6">
      <w:pPr>
        <w:rPr>
          <w:rFonts w:ascii="Arial"/>
          <w:sz w:val="21"/>
        </w:rPr>
        <w:sectPr w:rsidR="00676CC6">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B029D2" w:rsidRDefault="00B029D2">
      <w:pPr>
        <w:pStyle w:val="Heading3"/>
        <w:spacing w:before="147"/>
        <w:jc w:val="both"/>
      </w:pPr>
    </w:p>
    <w:p w:rsidR="004626AE" w:rsidRPr="00B029D2" w:rsidRDefault="00A9710C" w:rsidP="004626AE">
      <w:pPr>
        <w:pStyle w:val="BodyText"/>
        <w:spacing w:before="90" w:line="280" w:lineRule="auto"/>
        <w:ind w:left="100"/>
        <w:jc w:val="both"/>
        <w:rPr>
          <w:b/>
          <w:sz w:val="22"/>
          <w:szCs w:val="22"/>
        </w:rPr>
      </w:pPr>
      <w:r w:rsidRPr="00B029D2">
        <w:rPr>
          <w:sz w:val="22"/>
          <w:szCs w:val="22"/>
        </w:rPr>
        <w:t xml:space="preserve">Problem: </w:t>
      </w:r>
      <w:r w:rsidR="00676CC6" w:rsidRPr="00B029D2">
        <w:rPr>
          <w:sz w:val="22"/>
          <w:szCs w:val="22"/>
        </w:rPr>
        <w:t>Since the introduction of NICE guidelines 2009</w:t>
      </w:r>
      <w:r w:rsidR="00B029D2" w:rsidRPr="00B029D2">
        <w:rPr>
          <w:sz w:val="22"/>
          <w:szCs w:val="22"/>
          <w:vertAlign w:val="superscript"/>
        </w:rPr>
        <w:t>1</w:t>
      </w:r>
      <w:r w:rsidR="00676CC6" w:rsidRPr="00B029D2">
        <w:rPr>
          <w:sz w:val="22"/>
          <w:szCs w:val="22"/>
        </w:rPr>
        <w:t>, the number of glaucoma referrals from the community optometrists to secondary services have increased across the UK, resulting in increase in first visit discharge rates</w:t>
      </w:r>
      <w:r w:rsidR="00B029D2" w:rsidRPr="00B029D2">
        <w:rPr>
          <w:sz w:val="22"/>
          <w:szCs w:val="22"/>
          <w:vertAlign w:val="superscript"/>
        </w:rPr>
        <w:t>2-6</w:t>
      </w:r>
      <w:r w:rsidR="00676CC6" w:rsidRPr="00B029D2">
        <w:rPr>
          <w:sz w:val="22"/>
          <w:szCs w:val="22"/>
        </w:rPr>
        <w:t>. SIGN 144 was introduced in March 2016</w:t>
      </w:r>
      <w:r w:rsidR="004626AE" w:rsidRPr="00B029D2">
        <w:rPr>
          <w:sz w:val="22"/>
          <w:szCs w:val="22"/>
        </w:rPr>
        <w:t xml:space="preserve"> in Scotland</w:t>
      </w:r>
      <w:r w:rsidR="00676CC6" w:rsidRPr="00B029D2">
        <w:rPr>
          <w:sz w:val="22"/>
          <w:szCs w:val="22"/>
        </w:rPr>
        <w:t xml:space="preserve"> to meet the need for a more refined guideline </w:t>
      </w:r>
      <w:r w:rsidR="00630C31" w:rsidRPr="00B029D2">
        <w:rPr>
          <w:sz w:val="22"/>
          <w:szCs w:val="22"/>
        </w:rPr>
        <w:t xml:space="preserve">to reduce unnecessary </w:t>
      </w:r>
      <w:proofErr w:type="spellStart"/>
      <w:r w:rsidR="00630C31" w:rsidRPr="00B029D2">
        <w:rPr>
          <w:sz w:val="22"/>
          <w:szCs w:val="22"/>
        </w:rPr>
        <w:t>referrals</w:t>
      </w:r>
      <w:r w:rsidR="00676CC6" w:rsidRPr="00B029D2">
        <w:rPr>
          <w:sz w:val="22"/>
          <w:szCs w:val="22"/>
        </w:rPr>
        <w:t>.This</w:t>
      </w:r>
      <w:proofErr w:type="spellEnd"/>
      <w:r w:rsidR="00676CC6" w:rsidRPr="00B029D2">
        <w:rPr>
          <w:sz w:val="22"/>
          <w:szCs w:val="22"/>
        </w:rPr>
        <w:t xml:space="preserve"> is the first study conducted in a regional eye </w:t>
      </w:r>
      <w:proofErr w:type="spellStart"/>
      <w:r w:rsidR="00676CC6" w:rsidRPr="00B029D2">
        <w:rPr>
          <w:sz w:val="22"/>
          <w:szCs w:val="22"/>
        </w:rPr>
        <w:t>centre</w:t>
      </w:r>
      <w:proofErr w:type="spellEnd"/>
      <w:r w:rsidR="00676CC6" w:rsidRPr="00B029D2">
        <w:rPr>
          <w:sz w:val="22"/>
          <w:szCs w:val="22"/>
        </w:rPr>
        <w:t xml:space="preserve"> which aims to assess the impact of SIGN 144 on quality of referrals from community optometrists. </w:t>
      </w:r>
      <w:r w:rsidRPr="00B029D2">
        <w:rPr>
          <w:sz w:val="22"/>
          <w:szCs w:val="22"/>
        </w:rPr>
        <w:t>Methodolog</w:t>
      </w:r>
      <w:r w:rsidR="008756E6" w:rsidRPr="00B029D2">
        <w:rPr>
          <w:sz w:val="22"/>
          <w:szCs w:val="22"/>
        </w:rPr>
        <w:t xml:space="preserve">y: </w:t>
      </w:r>
      <w:r w:rsidR="00676CC6" w:rsidRPr="00B029D2">
        <w:rPr>
          <w:rFonts w:cs="Times New Roman"/>
          <w:sz w:val="22"/>
          <w:szCs w:val="22"/>
        </w:rPr>
        <w:t xml:space="preserve">A retrospective case audit of 385 electronic records from (TRAK) of  patients who attended the new glaucoma clinics in Princess Alexander Eye </w:t>
      </w:r>
      <w:proofErr w:type="spellStart"/>
      <w:r w:rsidR="00676CC6" w:rsidRPr="00B029D2">
        <w:rPr>
          <w:rFonts w:cs="Times New Roman"/>
          <w:sz w:val="22"/>
          <w:szCs w:val="22"/>
        </w:rPr>
        <w:t>Pavillion</w:t>
      </w:r>
      <w:proofErr w:type="spellEnd"/>
      <w:r w:rsidR="00676CC6" w:rsidRPr="00B029D2">
        <w:rPr>
          <w:rFonts w:cs="Times New Roman"/>
          <w:sz w:val="22"/>
          <w:szCs w:val="22"/>
        </w:rPr>
        <w:t xml:space="preserve">(PAEP) was carried out across two major time periods , 1) Oct-Nov 2015, June-July 2016 and 2) Sept-Oct 2016 These periods were selected to enable comparison of before and after SIGN 144. Inclusion </w:t>
      </w:r>
      <w:proofErr w:type="spellStart"/>
      <w:r w:rsidR="00676CC6" w:rsidRPr="00B029D2">
        <w:rPr>
          <w:rFonts w:cs="Times New Roman"/>
          <w:sz w:val="22"/>
          <w:szCs w:val="22"/>
        </w:rPr>
        <w:t>criteria</w:t>
      </w:r>
      <w:proofErr w:type="gramStart"/>
      <w:r w:rsidR="00676CC6" w:rsidRPr="00B029D2">
        <w:rPr>
          <w:rFonts w:cs="Times New Roman"/>
          <w:sz w:val="22"/>
          <w:szCs w:val="22"/>
        </w:rPr>
        <w:t>:patients</w:t>
      </w:r>
      <w:proofErr w:type="spellEnd"/>
      <w:proofErr w:type="gramEnd"/>
      <w:r w:rsidR="00676CC6" w:rsidRPr="00B029D2">
        <w:rPr>
          <w:rFonts w:cs="Times New Roman"/>
          <w:sz w:val="22"/>
          <w:szCs w:val="22"/>
        </w:rPr>
        <w:t xml:space="preserve"> from 18 years and above referred to the PAEP glaucoma outpatients clinic for new glaucoma diagnosis. Primary outcome of this study is first visit discharge </w:t>
      </w:r>
      <w:proofErr w:type="gramStart"/>
      <w:r w:rsidR="00676CC6" w:rsidRPr="00B029D2">
        <w:rPr>
          <w:rFonts w:cs="Times New Roman"/>
          <w:sz w:val="22"/>
          <w:szCs w:val="22"/>
        </w:rPr>
        <w:t>rate(</w:t>
      </w:r>
      <w:proofErr w:type="gramEnd"/>
      <w:r w:rsidR="00676CC6" w:rsidRPr="00B029D2">
        <w:rPr>
          <w:rFonts w:cs="Times New Roman"/>
          <w:sz w:val="22"/>
          <w:szCs w:val="22"/>
        </w:rPr>
        <w:t>FVDR). Secondary outcome is the extent of compliance to recommendations by SIGN guidelines.  Result</w:t>
      </w:r>
      <w:r w:rsidRPr="00B029D2">
        <w:rPr>
          <w:sz w:val="22"/>
          <w:szCs w:val="22"/>
        </w:rPr>
        <w:t xml:space="preserve">s: </w:t>
      </w:r>
      <w:r w:rsidR="00676CC6" w:rsidRPr="00B029D2">
        <w:rPr>
          <w:sz w:val="22"/>
          <w:szCs w:val="22"/>
        </w:rPr>
        <w:t>233 patients were included in group 1(Pre-SIGN period) and 152 patients were included in group 2 (Post-SIGN period). Our study showed that there is a significant decline in FVDR between the per</w:t>
      </w:r>
      <w:r w:rsidR="00630C31" w:rsidRPr="00B029D2">
        <w:rPr>
          <w:sz w:val="22"/>
          <w:szCs w:val="22"/>
        </w:rPr>
        <w:t>iods</w:t>
      </w:r>
      <w:proofErr w:type="gramStart"/>
      <w:r w:rsidR="00630C31" w:rsidRPr="00B029D2">
        <w:rPr>
          <w:sz w:val="22"/>
          <w:szCs w:val="22"/>
        </w:rPr>
        <w:t>.(</w:t>
      </w:r>
      <w:proofErr w:type="gramEnd"/>
      <w:r w:rsidR="00630C31" w:rsidRPr="00B029D2">
        <w:rPr>
          <w:sz w:val="22"/>
          <w:szCs w:val="22"/>
        </w:rPr>
        <w:t>odds ratio 0.47, p &lt;0.002</w:t>
      </w:r>
      <w:r w:rsidR="00676CC6" w:rsidRPr="00B029D2">
        <w:rPr>
          <w:color w:val="000000"/>
          <w:sz w:val="22"/>
          <w:szCs w:val="22"/>
          <w:shd w:val="clear" w:color="auto" w:fill="FFFFFF"/>
        </w:rPr>
        <w:t>)</w:t>
      </w:r>
      <w:r w:rsidR="00676CC6" w:rsidRPr="00B029D2">
        <w:rPr>
          <w:sz w:val="22"/>
          <w:szCs w:val="22"/>
        </w:rPr>
        <w:t xml:space="preserve">. 86% of referrals are compliant to SIGN referral criteria while 12.5% still remains non-compliant. Two main reason for non-compliance include no repeatable visual field </w:t>
      </w:r>
      <w:proofErr w:type="gramStart"/>
      <w:r w:rsidR="00676CC6" w:rsidRPr="00B029D2">
        <w:rPr>
          <w:sz w:val="22"/>
          <w:szCs w:val="22"/>
        </w:rPr>
        <w:t>defects(</w:t>
      </w:r>
      <w:proofErr w:type="gramEnd"/>
      <w:r w:rsidR="00676CC6" w:rsidRPr="00B029D2">
        <w:rPr>
          <w:sz w:val="22"/>
          <w:szCs w:val="22"/>
        </w:rPr>
        <w:t>42%) , and high IOP either not repeated or not according to referral criteria (36.8%)</w:t>
      </w:r>
      <w:r w:rsidRPr="00B029D2">
        <w:rPr>
          <w:sz w:val="22"/>
          <w:szCs w:val="22"/>
        </w:rPr>
        <w:t xml:space="preserve">. Conclusion &amp; Significance: </w:t>
      </w:r>
      <w:r w:rsidR="00676CC6" w:rsidRPr="00B029D2">
        <w:rPr>
          <w:sz w:val="22"/>
          <w:szCs w:val="22"/>
        </w:rPr>
        <w:t>Patients who were referred after SIGN guidelines have a 47% less chance of being discharged on first visit. Even though compliance to some recommendations in SIGN guidelines have improved, there is still a need to improve adherence to referral criteria based on visual fields and IOP.</w:t>
      </w:r>
      <w:r w:rsidRPr="00B029D2">
        <w:rPr>
          <w:b/>
          <w:sz w:val="22"/>
          <w:szCs w:val="22"/>
        </w:rPr>
        <w:br w:type="column"/>
      </w:r>
    </w:p>
    <w:p w:rsidR="00630C31" w:rsidRPr="00B029D2" w:rsidRDefault="00630C31" w:rsidP="00630C31">
      <w:pPr>
        <w:rPr>
          <w:b/>
        </w:rPr>
      </w:pPr>
      <w:r w:rsidRPr="00B029D2">
        <w:rPr>
          <w:b/>
        </w:rPr>
        <w:t xml:space="preserve">Table </w:t>
      </w:r>
      <w:r w:rsidRPr="00B029D2">
        <w:rPr>
          <w:b/>
        </w:rPr>
        <w:t xml:space="preserve">1 </w:t>
      </w:r>
      <w:r w:rsidRPr="00B029D2">
        <w:rPr>
          <w:b/>
        </w:rPr>
        <w:t>Diagnosis, discharge rates and retention in service pre and post-SIGN</w:t>
      </w:r>
    </w:p>
    <w:p w:rsidR="00AE3E37" w:rsidRDefault="00AE3E37">
      <w:pPr>
        <w:pStyle w:val="Heading3"/>
        <w:spacing w:before="74"/>
      </w:pPr>
    </w:p>
    <w:tbl>
      <w:tblPr>
        <w:tblStyle w:val="PlainTable2"/>
        <w:tblW w:w="0" w:type="auto"/>
        <w:tblLook w:val="04A0" w:firstRow="1" w:lastRow="0" w:firstColumn="1" w:lastColumn="0" w:noHBand="0" w:noVBand="1"/>
      </w:tblPr>
      <w:tblGrid>
        <w:gridCol w:w="4995"/>
        <w:gridCol w:w="32"/>
        <w:gridCol w:w="1448"/>
        <w:gridCol w:w="20"/>
        <w:gridCol w:w="1605"/>
        <w:gridCol w:w="1255"/>
      </w:tblGrid>
      <w:tr w:rsidR="00630C31" w:rsidRPr="00630C31" w:rsidTr="00153E30">
        <w:trPr>
          <w:cnfStyle w:val="100000000000" w:firstRow="1" w:lastRow="0" w:firstColumn="0" w:lastColumn="0" w:oddVBand="0" w:evenVBand="0" w:oddHBand="0"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4995" w:type="dxa"/>
            <w:tcBorders>
              <w:right w:val="single" w:sz="4" w:space="0" w:color="auto"/>
            </w:tcBorders>
          </w:tcPr>
          <w:p w:rsidR="00630C31" w:rsidRPr="00630C31" w:rsidRDefault="00630C31" w:rsidP="00153E30">
            <w:pPr>
              <w:rPr>
                <w:i/>
                <w:sz w:val="18"/>
                <w:szCs w:val="18"/>
              </w:rPr>
            </w:pPr>
            <w:r w:rsidRPr="00630C31">
              <w:rPr>
                <w:i/>
                <w:sz w:val="18"/>
                <w:szCs w:val="18"/>
              </w:rPr>
              <w:t xml:space="preserve">Primary Outcome </w:t>
            </w:r>
          </w:p>
        </w:tc>
        <w:tc>
          <w:tcPr>
            <w:tcW w:w="1500" w:type="dxa"/>
            <w:gridSpan w:val="3"/>
            <w:tcBorders>
              <w:right w:val="single" w:sz="4" w:space="0" w:color="auto"/>
            </w:tcBorders>
          </w:tcPr>
          <w:p w:rsidR="00630C31" w:rsidRPr="00630C31" w:rsidRDefault="00630C31" w:rsidP="00153E30">
            <w:pPr>
              <w:jc w:val="center"/>
              <w:cnfStyle w:val="100000000000" w:firstRow="1" w:lastRow="0" w:firstColumn="0" w:lastColumn="0" w:oddVBand="0" w:evenVBand="0" w:oddHBand="0" w:evenHBand="0" w:firstRowFirstColumn="0" w:firstRowLastColumn="0" w:lastRowFirstColumn="0" w:lastRowLastColumn="0"/>
              <w:rPr>
                <w:bCs w:val="0"/>
                <w:i/>
                <w:sz w:val="18"/>
                <w:szCs w:val="18"/>
              </w:rPr>
            </w:pPr>
            <w:r w:rsidRPr="00630C31">
              <w:rPr>
                <w:bCs w:val="0"/>
                <w:i/>
                <w:sz w:val="18"/>
                <w:szCs w:val="18"/>
              </w:rPr>
              <w:t>PRE-SIGN PERIOD</w:t>
            </w:r>
          </w:p>
        </w:tc>
        <w:tc>
          <w:tcPr>
            <w:tcW w:w="1605" w:type="dxa"/>
            <w:tcBorders>
              <w:left w:val="single" w:sz="4" w:space="0" w:color="auto"/>
            </w:tcBorders>
          </w:tcPr>
          <w:p w:rsidR="00630C31" w:rsidRPr="00630C31" w:rsidRDefault="00630C31" w:rsidP="00153E30">
            <w:pPr>
              <w:jc w:val="center"/>
              <w:cnfStyle w:val="100000000000" w:firstRow="1" w:lastRow="0" w:firstColumn="0" w:lastColumn="0" w:oddVBand="0" w:evenVBand="0" w:oddHBand="0" w:evenHBand="0" w:firstRowFirstColumn="0" w:firstRowLastColumn="0" w:lastRowFirstColumn="0" w:lastRowLastColumn="0"/>
              <w:rPr>
                <w:bCs w:val="0"/>
                <w:i/>
                <w:sz w:val="18"/>
                <w:szCs w:val="18"/>
              </w:rPr>
            </w:pPr>
            <w:r w:rsidRPr="00630C31">
              <w:rPr>
                <w:bCs w:val="0"/>
                <w:i/>
                <w:sz w:val="18"/>
                <w:szCs w:val="18"/>
              </w:rPr>
              <w:t>POST-SIGN PERIOD</w:t>
            </w:r>
          </w:p>
        </w:tc>
        <w:tc>
          <w:tcPr>
            <w:tcW w:w="1255" w:type="dxa"/>
            <w:tcBorders>
              <w:left w:val="single" w:sz="4" w:space="0" w:color="auto"/>
            </w:tcBorders>
          </w:tcPr>
          <w:p w:rsidR="00630C31" w:rsidRPr="00630C31" w:rsidRDefault="00630C31" w:rsidP="00153E30">
            <w:pPr>
              <w:jc w:val="center"/>
              <w:cnfStyle w:val="100000000000" w:firstRow="1" w:lastRow="0" w:firstColumn="0" w:lastColumn="0" w:oddVBand="0" w:evenVBand="0" w:oddHBand="0" w:evenHBand="0" w:firstRowFirstColumn="0" w:firstRowLastColumn="0" w:lastRowFirstColumn="0" w:lastRowLastColumn="0"/>
              <w:rPr>
                <w:i/>
                <w:sz w:val="18"/>
                <w:szCs w:val="18"/>
              </w:rPr>
            </w:pPr>
            <w:r w:rsidRPr="00630C31">
              <w:rPr>
                <w:i/>
                <w:sz w:val="18"/>
                <w:szCs w:val="18"/>
              </w:rPr>
              <w:t>P value</w:t>
            </w:r>
          </w:p>
        </w:tc>
      </w:tr>
      <w:tr w:rsidR="00630C31" w:rsidRPr="00630C31" w:rsidTr="00153E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5" w:type="dxa"/>
            <w:gridSpan w:val="6"/>
          </w:tcPr>
          <w:p w:rsidR="00630C31" w:rsidRPr="00630C31" w:rsidRDefault="00630C31" w:rsidP="00153E30">
            <w:pPr>
              <w:jc w:val="center"/>
              <w:rPr>
                <w:sz w:val="18"/>
                <w:szCs w:val="18"/>
              </w:rPr>
            </w:pPr>
            <w:r w:rsidRPr="00630C31">
              <w:rPr>
                <w:sz w:val="18"/>
                <w:szCs w:val="18"/>
              </w:rPr>
              <w:t>Diagnosis</w:t>
            </w:r>
          </w:p>
        </w:tc>
      </w:tr>
      <w:tr w:rsidR="00630C31" w:rsidRPr="00630C31" w:rsidTr="00153E30">
        <w:tc>
          <w:tcPr>
            <w:cnfStyle w:val="001000000000" w:firstRow="0" w:lastRow="0" w:firstColumn="1" w:lastColumn="0" w:oddVBand="0" w:evenVBand="0" w:oddHBand="0" w:evenHBand="0" w:firstRowFirstColumn="0" w:firstRowLastColumn="0" w:lastRowFirstColumn="0" w:lastRowLastColumn="0"/>
            <w:tcW w:w="5027" w:type="dxa"/>
            <w:gridSpan w:val="2"/>
          </w:tcPr>
          <w:p w:rsidR="00630C31" w:rsidRPr="00630C31" w:rsidRDefault="00630C31" w:rsidP="00153E30">
            <w:pPr>
              <w:rPr>
                <w:sz w:val="18"/>
                <w:szCs w:val="18"/>
              </w:rPr>
            </w:pPr>
            <w:r w:rsidRPr="00630C31">
              <w:rPr>
                <w:sz w:val="18"/>
                <w:szCs w:val="18"/>
              </w:rPr>
              <w:t>Open Angle Glaucoma</w:t>
            </w:r>
          </w:p>
        </w:tc>
        <w:tc>
          <w:tcPr>
            <w:tcW w:w="1448" w:type="dxa"/>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r w:rsidRPr="00630C31">
              <w:rPr>
                <w:sz w:val="18"/>
                <w:szCs w:val="18"/>
              </w:rPr>
              <w:t>65(27.9%)</w:t>
            </w:r>
          </w:p>
        </w:tc>
        <w:tc>
          <w:tcPr>
            <w:tcW w:w="1625" w:type="dxa"/>
            <w:gridSpan w:val="2"/>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r w:rsidRPr="00630C31">
              <w:rPr>
                <w:sz w:val="18"/>
                <w:szCs w:val="18"/>
              </w:rPr>
              <w:t>46 (30.4%)</w:t>
            </w:r>
          </w:p>
        </w:tc>
        <w:tc>
          <w:tcPr>
            <w:tcW w:w="1255" w:type="dxa"/>
            <w:vMerge w:val="restart"/>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r w:rsidRPr="00630C31">
              <w:rPr>
                <w:sz w:val="18"/>
                <w:szCs w:val="18"/>
              </w:rPr>
              <w:t>Chi Square</w:t>
            </w:r>
          </w:p>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r w:rsidRPr="00630C31">
              <w:rPr>
                <w:sz w:val="18"/>
                <w:szCs w:val="18"/>
              </w:rPr>
              <w:t>P&lt;0.05</w:t>
            </w:r>
          </w:p>
        </w:tc>
      </w:tr>
      <w:tr w:rsidR="00630C31" w:rsidRPr="00630C31" w:rsidTr="00153E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27" w:type="dxa"/>
            <w:gridSpan w:val="2"/>
          </w:tcPr>
          <w:p w:rsidR="00630C31" w:rsidRPr="00630C31" w:rsidRDefault="00630C31" w:rsidP="00153E30">
            <w:pPr>
              <w:rPr>
                <w:sz w:val="18"/>
                <w:szCs w:val="18"/>
              </w:rPr>
            </w:pPr>
            <w:r w:rsidRPr="00630C31">
              <w:rPr>
                <w:sz w:val="18"/>
                <w:szCs w:val="18"/>
              </w:rPr>
              <w:t>Normal</w:t>
            </w:r>
          </w:p>
        </w:tc>
        <w:tc>
          <w:tcPr>
            <w:tcW w:w="1448" w:type="dxa"/>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r w:rsidRPr="00630C31">
              <w:rPr>
                <w:sz w:val="18"/>
                <w:szCs w:val="18"/>
              </w:rPr>
              <w:t>84 (36.1%)</w:t>
            </w:r>
          </w:p>
        </w:tc>
        <w:tc>
          <w:tcPr>
            <w:tcW w:w="1625" w:type="dxa"/>
            <w:gridSpan w:val="2"/>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r w:rsidRPr="00630C31">
              <w:rPr>
                <w:sz w:val="18"/>
                <w:szCs w:val="18"/>
              </w:rPr>
              <w:t>32 (20.9%)</w:t>
            </w:r>
          </w:p>
        </w:tc>
        <w:tc>
          <w:tcPr>
            <w:tcW w:w="1255" w:type="dxa"/>
            <w:vMerge/>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p>
        </w:tc>
      </w:tr>
      <w:tr w:rsidR="00630C31" w:rsidRPr="00630C31" w:rsidTr="00153E30">
        <w:tc>
          <w:tcPr>
            <w:cnfStyle w:val="001000000000" w:firstRow="0" w:lastRow="0" w:firstColumn="1" w:lastColumn="0" w:oddVBand="0" w:evenVBand="0" w:oddHBand="0" w:evenHBand="0" w:firstRowFirstColumn="0" w:firstRowLastColumn="0" w:lastRowFirstColumn="0" w:lastRowLastColumn="0"/>
            <w:tcW w:w="5027" w:type="dxa"/>
            <w:gridSpan w:val="2"/>
          </w:tcPr>
          <w:p w:rsidR="00630C31" w:rsidRPr="00630C31" w:rsidRDefault="00630C31" w:rsidP="00153E30">
            <w:pPr>
              <w:rPr>
                <w:sz w:val="18"/>
                <w:szCs w:val="18"/>
              </w:rPr>
            </w:pPr>
            <w:r w:rsidRPr="00630C31">
              <w:rPr>
                <w:sz w:val="18"/>
                <w:szCs w:val="18"/>
              </w:rPr>
              <w:t>Glaucoma Suspect/OHT</w:t>
            </w:r>
          </w:p>
        </w:tc>
        <w:tc>
          <w:tcPr>
            <w:tcW w:w="1448" w:type="dxa"/>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r w:rsidRPr="00630C31">
              <w:rPr>
                <w:sz w:val="18"/>
                <w:szCs w:val="18"/>
              </w:rPr>
              <w:t>60 (25.8%)</w:t>
            </w:r>
          </w:p>
        </w:tc>
        <w:tc>
          <w:tcPr>
            <w:tcW w:w="1625" w:type="dxa"/>
            <w:gridSpan w:val="2"/>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r w:rsidRPr="00630C31">
              <w:rPr>
                <w:sz w:val="18"/>
                <w:szCs w:val="18"/>
              </w:rPr>
              <w:t>56 (36.8%)</w:t>
            </w:r>
          </w:p>
        </w:tc>
        <w:tc>
          <w:tcPr>
            <w:tcW w:w="1255" w:type="dxa"/>
            <w:vMerge/>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p>
        </w:tc>
      </w:tr>
      <w:tr w:rsidR="00630C31" w:rsidRPr="00630C31" w:rsidTr="00153E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27" w:type="dxa"/>
            <w:gridSpan w:val="2"/>
          </w:tcPr>
          <w:p w:rsidR="00630C31" w:rsidRPr="00630C31" w:rsidRDefault="00630C31" w:rsidP="00153E30">
            <w:pPr>
              <w:rPr>
                <w:sz w:val="18"/>
                <w:szCs w:val="18"/>
              </w:rPr>
            </w:pPr>
            <w:r w:rsidRPr="00630C31">
              <w:rPr>
                <w:sz w:val="18"/>
                <w:szCs w:val="18"/>
              </w:rPr>
              <w:t>Angle closure Glaucoma</w:t>
            </w:r>
          </w:p>
        </w:tc>
        <w:tc>
          <w:tcPr>
            <w:tcW w:w="1448" w:type="dxa"/>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r w:rsidRPr="00630C31">
              <w:rPr>
                <w:sz w:val="18"/>
                <w:szCs w:val="18"/>
              </w:rPr>
              <w:t>13(5.6%)</w:t>
            </w:r>
          </w:p>
        </w:tc>
        <w:tc>
          <w:tcPr>
            <w:tcW w:w="1625" w:type="dxa"/>
            <w:gridSpan w:val="2"/>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r w:rsidRPr="00630C31">
              <w:rPr>
                <w:sz w:val="18"/>
                <w:szCs w:val="18"/>
              </w:rPr>
              <w:t>10 (6.6%)</w:t>
            </w:r>
          </w:p>
        </w:tc>
        <w:tc>
          <w:tcPr>
            <w:tcW w:w="1255" w:type="dxa"/>
            <w:vMerge/>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p>
        </w:tc>
      </w:tr>
      <w:tr w:rsidR="00630C31" w:rsidRPr="00630C31" w:rsidTr="00153E30">
        <w:tc>
          <w:tcPr>
            <w:cnfStyle w:val="001000000000" w:firstRow="0" w:lastRow="0" w:firstColumn="1" w:lastColumn="0" w:oddVBand="0" w:evenVBand="0" w:oddHBand="0" w:evenHBand="0" w:firstRowFirstColumn="0" w:firstRowLastColumn="0" w:lastRowFirstColumn="0" w:lastRowLastColumn="0"/>
            <w:tcW w:w="5027" w:type="dxa"/>
            <w:gridSpan w:val="2"/>
          </w:tcPr>
          <w:p w:rsidR="00630C31" w:rsidRPr="00630C31" w:rsidRDefault="00630C31" w:rsidP="00153E30">
            <w:pPr>
              <w:rPr>
                <w:sz w:val="18"/>
                <w:szCs w:val="18"/>
              </w:rPr>
            </w:pPr>
            <w:r w:rsidRPr="00630C31">
              <w:rPr>
                <w:sz w:val="18"/>
                <w:szCs w:val="18"/>
              </w:rPr>
              <w:t>Follow up cancelled/DNA</w:t>
            </w:r>
          </w:p>
        </w:tc>
        <w:tc>
          <w:tcPr>
            <w:tcW w:w="1448" w:type="dxa"/>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r w:rsidRPr="00630C31">
              <w:rPr>
                <w:sz w:val="18"/>
                <w:szCs w:val="18"/>
              </w:rPr>
              <w:t>10 (4.2%)</w:t>
            </w:r>
          </w:p>
        </w:tc>
        <w:tc>
          <w:tcPr>
            <w:tcW w:w="1625" w:type="dxa"/>
            <w:gridSpan w:val="2"/>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r w:rsidRPr="00630C31">
              <w:rPr>
                <w:sz w:val="18"/>
                <w:szCs w:val="18"/>
              </w:rPr>
              <w:t>7(4.6%)</w:t>
            </w:r>
          </w:p>
        </w:tc>
        <w:tc>
          <w:tcPr>
            <w:tcW w:w="1255" w:type="dxa"/>
            <w:vMerge/>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p>
        </w:tc>
      </w:tr>
      <w:tr w:rsidR="00630C31" w:rsidRPr="00630C31" w:rsidTr="00153E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27" w:type="dxa"/>
            <w:gridSpan w:val="2"/>
          </w:tcPr>
          <w:p w:rsidR="00630C31" w:rsidRPr="00630C31" w:rsidRDefault="00630C31" w:rsidP="00153E30">
            <w:pPr>
              <w:rPr>
                <w:sz w:val="18"/>
                <w:szCs w:val="18"/>
              </w:rPr>
            </w:pPr>
            <w:r w:rsidRPr="00630C31">
              <w:rPr>
                <w:sz w:val="18"/>
                <w:szCs w:val="18"/>
              </w:rPr>
              <w:t>Other diagnosis</w:t>
            </w:r>
          </w:p>
        </w:tc>
        <w:tc>
          <w:tcPr>
            <w:tcW w:w="1448" w:type="dxa"/>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r w:rsidRPr="00630C31">
              <w:rPr>
                <w:sz w:val="18"/>
                <w:szCs w:val="18"/>
              </w:rPr>
              <w:t>1(0.4%)</w:t>
            </w:r>
          </w:p>
        </w:tc>
        <w:tc>
          <w:tcPr>
            <w:tcW w:w="1625" w:type="dxa"/>
            <w:gridSpan w:val="2"/>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r w:rsidRPr="00630C31">
              <w:rPr>
                <w:sz w:val="18"/>
                <w:szCs w:val="18"/>
              </w:rPr>
              <w:t>1(0.7%)</w:t>
            </w:r>
          </w:p>
        </w:tc>
        <w:tc>
          <w:tcPr>
            <w:tcW w:w="1255" w:type="dxa"/>
            <w:vMerge/>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p>
        </w:tc>
      </w:tr>
      <w:tr w:rsidR="00630C31" w:rsidRPr="00630C31" w:rsidTr="00153E30">
        <w:tc>
          <w:tcPr>
            <w:cnfStyle w:val="001000000000" w:firstRow="0" w:lastRow="0" w:firstColumn="1" w:lastColumn="0" w:oddVBand="0" w:evenVBand="0" w:oddHBand="0" w:evenHBand="0" w:firstRowFirstColumn="0" w:firstRowLastColumn="0" w:lastRowFirstColumn="0" w:lastRowLastColumn="0"/>
            <w:tcW w:w="9355" w:type="dxa"/>
            <w:gridSpan w:val="6"/>
          </w:tcPr>
          <w:p w:rsidR="00630C31" w:rsidRPr="00630C31" w:rsidRDefault="00630C31" w:rsidP="00153E30">
            <w:pPr>
              <w:jc w:val="center"/>
              <w:rPr>
                <w:sz w:val="18"/>
                <w:szCs w:val="18"/>
              </w:rPr>
            </w:pPr>
            <w:r w:rsidRPr="00630C31">
              <w:rPr>
                <w:sz w:val="18"/>
                <w:szCs w:val="18"/>
              </w:rPr>
              <w:t>Outcomes</w:t>
            </w:r>
          </w:p>
        </w:tc>
      </w:tr>
      <w:tr w:rsidR="00630C31" w:rsidRPr="00630C31" w:rsidTr="00153E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27" w:type="dxa"/>
            <w:gridSpan w:val="2"/>
          </w:tcPr>
          <w:p w:rsidR="00630C31" w:rsidRPr="00630C31" w:rsidRDefault="00630C31" w:rsidP="00153E30">
            <w:pPr>
              <w:rPr>
                <w:sz w:val="18"/>
                <w:szCs w:val="18"/>
              </w:rPr>
            </w:pPr>
            <w:r w:rsidRPr="00630C31">
              <w:rPr>
                <w:sz w:val="18"/>
                <w:szCs w:val="18"/>
              </w:rPr>
              <w:t>Discharged</w:t>
            </w:r>
          </w:p>
        </w:tc>
        <w:tc>
          <w:tcPr>
            <w:tcW w:w="1448" w:type="dxa"/>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r w:rsidRPr="00630C31">
              <w:rPr>
                <w:sz w:val="18"/>
                <w:szCs w:val="18"/>
              </w:rPr>
              <w:t>84(36.1%)</w:t>
            </w:r>
          </w:p>
        </w:tc>
        <w:tc>
          <w:tcPr>
            <w:tcW w:w="1625" w:type="dxa"/>
            <w:gridSpan w:val="2"/>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r w:rsidRPr="00630C31">
              <w:rPr>
                <w:sz w:val="18"/>
                <w:szCs w:val="18"/>
              </w:rPr>
              <w:t>32(20.9%)</w:t>
            </w:r>
          </w:p>
        </w:tc>
        <w:tc>
          <w:tcPr>
            <w:tcW w:w="1255" w:type="dxa"/>
            <w:vMerge w:val="restart"/>
          </w:tcPr>
          <w:p w:rsidR="00630C31" w:rsidRPr="00630C31" w:rsidRDefault="00630C31" w:rsidP="00153E30">
            <w:pPr>
              <w:cnfStyle w:val="000000100000" w:firstRow="0" w:lastRow="0" w:firstColumn="0" w:lastColumn="0" w:oddVBand="0" w:evenVBand="0" w:oddHBand="1" w:evenHBand="0" w:firstRowFirstColumn="0" w:firstRowLastColumn="0" w:lastRowFirstColumn="0" w:lastRowLastColumn="0"/>
              <w:rPr>
                <w:sz w:val="18"/>
                <w:szCs w:val="18"/>
              </w:rPr>
            </w:pPr>
            <w:r w:rsidRPr="00630C31">
              <w:rPr>
                <w:sz w:val="18"/>
                <w:szCs w:val="18"/>
              </w:rPr>
              <w:t>Chi-square p &lt;0.01</w:t>
            </w:r>
          </w:p>
        </w:tc>
      </w:tr>
      <w:tr w:rsidR="00630C31" w:rsidRPr="00630C31" w:rsidTr="00153E30">
        <w:tc>
          <w:tcPr>
            <w:cnfStyle w:val="001000000000" w:firstRow="0" w:lastRow="0" w:firstColumn="1" w:lastColumn="0" w:oddVBand="0" w:evenVBand="0" w:oddHBand="0" w:evenHBand="0" w:firstRowFirstColumn="0" w:firstRowLastColumn="0" w:lastRowFirstColumn="0" w:lastRowLastColumn="0"/>
            <w:tcW w:w="5027" w:type="dxa"/>
            <w:gridSpan w:val="2"/>
          </w:tcPr>
          <w:p w:rsidR="00630C31" w:rsidRPr="00630C31" w:rsidRDefault="00630C31" w:rsidP="00153E30">
            <w:pPr>
              <w:rPr>
                <w:sz w:val="18"/>
                <w:szCs w:val="18"/>
              </w:rPr>
            </w:pPr>
            <w:r w:rsidRPr="00630C31">
              <w:rPr>
                <w:sz w:val="18"/>
                <w:szCs w:val="18"/>
              </w:rPr>
              <w:t>Retained in service due to treatment / follow up for glaucoma suspect</w:t>
            </w:r>
          </w:p>
        </w:tc>
        <w:tc>
          <w:tcPr>
            <w:tcW w:w="1448" w:type="dxa"/>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r w:rsidRPr="00630C31">
              <w:rPr>
                <w:sz w:val="18"/>
                <w:szCs w:val="18"/>
              </w:rPr>
              <w:t>149(63.9%)</w:t>
            </w:r>
          </w:p>
        </w:tc>
        <w:tc>
          <w:tcPr>
            <w:tcW w:w="1625" w:type="dxa"/>
            <w:gridSpan w:val="2"/>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r w:rsidRPr="00630C31">
              <w:rPr>
                <w:sz w:val="18"/>
                <w:szCs w:val="18"/>
              </w:rPr>
              <w:t>120(79.1%)</w:t>
            </w:r>
          </w:p>
        </w:tc>
        <w:tc>
          <w:tcPr>
            <w:tcW w:w="1255" w:type="dxa"/>
            <w:vMerge/>
          </w:tcPr>
          <w:p w:rsidR="00630C31" w:rsidRPr="00630C31" w:rsidRDefault="00630C31" w:rsidP="00153E30">
            <w:pPr>
              <w:cnfStyle w:val="000000000000" w:firstRow="0" w:lastRow="0" w:firstColumn="0" w:lastColumn="0" w:oddVBand="0" w:evenVBand="0" w:oddHBand="0" w:evenHBand="0" w:firstRowFirstColumn="0" w:firstRowLastColumn="0" w:lastRowFirstColumn="0" w:lastRowLastColumn="0"/>
              <w:rPr>
                <w:sz w:val="18"/>
                <w:szCs w:val="18"/>
              </w:rPr>
            </w:pPr>
          </w:p>
        </w:tc>
      </w:tr>
    </w:tbl>
    <w:p w:rsidR="00AE3E37" w:rsidRDefault="00AE3E37">
      <w:pPr>
        <w:pStyle w:val="BodyText"/>
        <w:spacing w:before="2"/>
        <w:rPr>
          <w:rFonts w:ascii="Arial"/>
          <w:b/>
          <w:sz w:val="16"/>
        </w:rPr>
      </w:pPr>
    </w:p>
    <w:p w:rsidR="005973B9" w:rsidRDefault="005973B9" w:rsidP="00630C31">
      <w:pPr>
        <w:spacing w:line="204" w:lineRule="exact"/>
        <w:rPr>
          <w:rFonts w:ascii="Arial"/>
          <w:b/>
          <w:color w:val="BF5A14"/>
          <w:sz w:val="20"/>
        </w:rPr>
      </w:pPr>
      <w:r>
        <w:rPr>
          <w:rFonts w:ascii="Arial"/>
          <w:b/>
          <w:color w:val="BF5A14"/>
          <w:sz w:val="20"/>
        </w:rPr>
        <w:br/>
      </w:r>
      <w:r w:rsidR="00630C31">
        <w:rPr>
          <w:rFonts w:ascii="Arial"/>
          <w:b/>
          <w:color w:val="BF5A14"/>
          <w:sz w:val="20"/>
        </w:rPr>
        <w:t>Bibliography</w:t>
      </w:r>
    </w:p>
    <w:p w:rsidR="004626AE" w:rsidRPr="004626AE" w:rsidRDefault="004626AE" w:rsidP="004626AE">
      <w:pPr>
        <w:autoSpaceDE w:val="0"/>
        <w:autoSpaceDN w:val="0"/>
        <w:adjustRightInd w:val="0"/>
        <w:rPr>
          <w:rFonts w:cs="AdvMINION-I"/>
          <w:sz w:val="20"/>
          <w:szCs w:val="20"/>
        </w:rPr>
      </w:pPr>
      <w:proofErr w:type="gramStart"/>
      <w:r>
        <w:rPr>
          <w:rFonts w:ascii="AdvMINION-I" w:hAnsi="AdvMINION-I" w:cs="AdvMINION-I"/>
          <w:sz w:val="17"/>
          <w:szCs w:val="17"/>
        </w:rPr>
        <w:t>1</w:t>
      </w:r>
      <w:r w:rsidRPr="004626AE">
        <w:rPr>
          <w:rFonts w:cs="AdvMINION-I"/>
          <w:sz w:val="20"/>
          <w:szCs w:val="20"/>
        </w:rPr>
        <w:t>)Glaucoma</w:t>
      </w:r>
      <w:proofErr w:type="gramEnd"/>
      <w:r w:rsidRPr="004626AE">
        <w:rPr>
          <w:rFonts w:cs="AdvMINION-I"/>
          <w:sz w:val="20"/>
          <w:szCs w:val="20"/>
        </w:rPr>
        <w:t>: diagnosis and management of chronic open angle glaucoma and ocular hypertension, in Clinical guidelines</w:t>
      </w:r>
    </w:p>
    <w:p w:rsidR="004626AE" w:rsidRPr="004626AE" w:rsidRDefault="004626AE" w:rsidP="004626AE">
      <w:pPr>
        <w:autoSpaceDE w:val="0"/>
        <w:autoSpaceDN w:val="0"/>
        <w:adjustRightInd w:val="0"/>
        <w:rPr>
          <w:rFonts w:cs="AdvMINION-R"/>
          <w:sz w:val="20"/>
          <w:szCs w:val="20"/>
        </w:rPr>
      </w:pPr>
      <w:r w:rsidRPr="004626AE">
        <w:rPr>
          <w:rFonts w:cs="AdvMINION-I"/>
          <w:sz w:val="20"/>
          <w:szCs w:val="20"/>
        </w:rPr>
        <w:t>CG85</w:t>
      </w:r>
      <w:r w:rsidRPr="004626AE">
        <w:rPr>
          <w:rFonts w:cs="AdvMINION-R"/>
          <w:sz w:val="20"/>
          <w:szCs w:val="20"/>
        </w:rPr>
        <w:t xml:space="preserve">. 2009, National Institute for Health and </w:t>
      </w:r>
      <w:proofErr w:type="spellStart"/>
      <w:r w:rsidRPr="004626AE">
        <w:rPr>
          <w:rFonts w:cs="AdvMINION-R"/>
          <w:sz w:val="20"/>
          <w:szCs w:val="20"/>
        </w:rPr>
        <w:t>ClinicalExcellence</w:t>
      </w:r>
      <w:proofErr w:type="spellEnd"/>
      <w:r w:rsidRPr="004626AE">
        <w:rPr>
          <w:rFonts w:cs="AdvMINION-R"/>
          <w:sz w:val="20"/>
          <w:szCs w:val="20"/>
        </w:rPr>
        <w:t>. http://www.nice.org.uk/nicemedia/pdf/</w:t>
      </w:r>
    </w:p>
    <w:p w:rsidR="004626AE" w:rsidRPr="004626AE" w:rsidRDefault="004626AE" w:rsidP="004626AE">
      <w:pPr>
        <w:autoSpaceDE w:val="0"/>
        <w:autoSpaceDN w:val="0"/>
        <w:adjustRightInd w:val="0"/>
        <w:rPr>
          <w:rFonts w:cs="AdvMINION-R"/>
          <w:sz w:val="20"/>
          <w:szCs w:val="20"/>
        </w:rPr>
      </w:pPr>
      <w:r w:rsidRPr="004626AE">
        <w:rPr>
          <w:rFonts w:cs="AdvMINION-R"/>
          <w:sz w:val="20"/>
          <w:szCs w:val="20"/>
        </w:rPr>
        <w:t>CG85NIC</w:t>
      </w:r>
      <w:r>
        <w:rPr>
          <w:rFonts w:cs="AdvMINION-R"/>
          <w:sz w:val="20"/>
          <w:szCs w:val="20"/>
        </w:rPr>
        <w:t>EGuideline.pdf, accessed 12/9/17</w:t>
      </w:r>
      <w:r w:rsidRPr="004626AE">
        <w:rPr>
          <w:rFonts w:cs="AdvMINION-R"/>
          <w:sz w:val="20"/>
          <w:szCs w:val="20"/>
        </w:rPr>
        <w:t xml:space="preserve">. </w:t>
      </w:r>
    </w:p>
    <w:p w:rsidR="004626AE" w:rsidRPr="004626AE" w:rsidRDefault="004626AE" w:rsidP="004626AE">
      <w:pPr>
        <w:autoSpaceDE w:val="0"/>
        <w:autoSpaceDN w:val="0"/>
        <w:adjustRightInd w:val="0"/>
        <w:rPr>
          <w:rFonts w:cs="AdvMINION-R"/>
          <w:sz w:val="20"/>
          <w:szCs w:val="20"/>
        </w:rPr>
      </w:pPr>
      <w:proofErr w:type="gramStart"/>
      <w:r w:rsidRPr="004626AE">
        <w:rPr>
          <w:rFonts w:cs="AdvMINION-R"/>
          <w:sz w:val="20"/>
          <w:szCs w:val="20"/>
        </w:rPr>
        <w:t>2)Edgar</w:t>
      </w:r>
      <w:proofErr w:type="gramEnd"/>
      <w:r w:rsidRPr="004626AE">
        <w:rPr>
          <w:rFonts w:cs="AdvMINION-R"/>
          <w:sz w:val="20"/>
          <w:szCs w:val="20"/>
        </w:rPr>
        <w:t xml:space="preserve"> DF, </w:t>
      </w:r>
      <w:proofErr w:type="spellStart"/>
      <w:r w:rsidRPr="004626AE">
        <w:rPr>
          <w:rFonts w:cs="AdvMINION-R"/>
          <w:sz w:val="20"/>
          <w:szCs w:val="20"/>
        </w:rPr>
        <w:t>Romanay</w:t>
      </w:r>
      <w:proofErr w:type="spellEnd"/>
      <w:r w:rsidRPr="004626AE">
        <w:rPr>
          <w:rFonts w:cs="AdvMINION-R"/>
          <w:sz w:val="20"/>
          <w:szCs w:val="20"/>
        </w:rPr>
        <w:t xml:space="preserve"> T, </w:t>
      </w:r>
      <w:proofErr w:type="spellStart"/>
      <w:r w:rsidRPr="004626AE">
        <w:rPr>
          <w:rFonts w:cs="AdvMINION-R"/>
          <w:sz w:val="20"/>
          <w:szCs w:val="20"/>
        </w:rPr>
        <w:t>Lawrenson</w:t>
      </w:r>
      <w:proofErr w:type="spellEnd"/>
      <w:r w:rsidRPr="004626AE">
        <w:rPr>
          <w:rFonts w:cs="AdvMINION-R"/>
          <w:sz w:val="20"/>
          <w:szCs w:val="20"/>
        </w:rPr>
        <w:t xml:space="preserve"> JG &amp; </w:t>
      </w:r>
      <w:proofErr w:type="spellStart"/>
      <w:r w:rsidRPr="004626AE">
        <w:rPr>
          <w:rFonts w:cs="AdvMINION-R"/>
          <w:sz w:val="20"/>
          <w:szCs w:val="20"/>
        </w:rPr>
        <w:t>Myint</w:t>
      </w:r>
      <w:proofErr w:type="spellEnd"/>
      <w:r w:rsidRPr="004626AE">
        <w:rPr>
          <w:rFonts w:cs="AdvMINION-R"/>
          <w:sz w:val="20"/>
          <w:szCs w:val="20"/>
        </w:rPr>
        <w:t xml:space="preserve"> J. Referral </w:t>
      </w:r>
      <w:proofErr w:type="spellStart"/>
      <w:r w:rsidRPr="004626AE">
        <w:rPr>
          <w:rFonts w:cs="AdvMINION-R"/>
          <w:sz w:val="20"/>
          <w:szCs w:val="20"/>
        </w:rPr>
        <w:t>behaviour</w:t>
      </w:r>
      <w:proofErr w:type="spellEnd"/>
      <w:r w:rsidRPr="004626AE">
        <w:rPr>
          <w:rFonts w:cs="AdvMINION-R"/>
          <w:sz w:val="20"/>
          <w:szCs w:val="20"/>
        </w:rPr>
        <w:t xml:space="preserve"> among optometrists: increase in the number of</w:t>
      </w:r>
    </w:p>
    <w:p w:rsidR="004626AE" w:rsidRPr="004626AE" w:rsidRDefault="004626AE" w:rsidP="004626AE">
      <w:pPr>
        <w:autoSpaceDE w:val="0"/>
        <w:autoSpaceDN w:val="0"/>
        <w:adjustRightInd w:val="0"/>
        <w:rPr>
          <w:rFonts w:cs="AdvMINION-R"/>
          <w:sz w:val="20"/>
          <w:szCs w:val="20"/>
        </w:rPr>
      </w:pPr>
      <w:proofErr w:type="gramStart"/>
      <w:r w:rsidRPr="004626AE">
        <w:rPr>
          <w:rFonts w:cs="AdvMINION-R"/>
          <w:sz w:val="20"/>
          <w:szCs w:val="20"/>
        </w:rPr>
        <w:t>referrals</w:t>
      </w:r>
      <w:proofErr w:type="gramEnd"/>
      <w:r w:rsidRPr="004626AE">
        <w:rPr>
          <w:rFonts w:cs="AdvMINION-R"/>
          <w:sz w:val="20"/>
          <w:szCs w:val="20"/>
        </w:rPr>
        <w:t xml:space="preserve"> from optometrists following the publication of the April 2009 NICE guidelines for the diagnosis and management</w:t>
      </w:r>
    </w:p>
    <w:p w:rsidR="004626AE" w:rsidRPr="004626AE" w:rsidRDefault="004626AE" w:rsidP="004626AE">
      <w:pPr>
        <w:autoSpaceDE w:val="0"/>
        <w:autoSpaceDN w:val="0"/>
        <w:adjustRightInd w:val="0"/>
        <w:rPr>
          <w:rFonts w:cs="AdvMINION-R"/>
          <w:sz w:val="20"/>
          <w:szCs w:val="20"/>
        </w:rPr>
      </w:pPr>
      <w:proofErr w:type="gramStart"/>
      <w:r w:rsidRPr="004626AE">
        <w:rPr>
          <w:rFonts w:cs="AdvMINION-R"/>
          <w:sz w:val="20"/>
          <w:szCs w:val="20"/>
        </w:rPr>
        <w:t>of</w:t>
      </w:r>
      <w:proofErr w:type="gramEnd"/>
      <w:r w:rsidRPr="004626AE">
        <w:rPr>
          <w:rFonts w:cs="AdvMINION-R"/>
          <w:sz w:val="20"/>
          <w:szCs w:val="20"/>
        </w:rPr>
        <w:t xml:space="preserve"> COAG and OHT in England and Wales and its implications. </w:t>
      </w:r>
      <w:proofErr w:type="spellStart"/>
      <w:r w:rsidRPr="004626AE">
        <w:rPr>
          <w:rFonts w:cs="AdvMINION-I"/>
          <w:sz w:val="20"/>
          <w:szCs w:val="20"/>
        </w:rPr>
        <w:t>OiP</w:t>
      </w:r>
      <w:proofErr w:type="spellEnd"/>
      <w:r w:rsidRPr="004626AE">
        <w:rPr>
          <w:rFonts w:cs="AdvMINION-R"/>
          <w:sz w:val="20"/>
          <w:szCs w:val="20"/>
        </w:rPr>
        <w:t>, 2010; 11: 33</w:t>
      </w:r>
      <w:r w:rsidRPr="004626AE">
        <w:rPr>
          <w:rFonts w:cs="AdvTT3713a231+20"/>
          <w:sz w:val="20"/>
          <w:szCs w:val="20"/>
        </w:rPr>
        <w:t>–</w:t>
      </w:r>
      <w:r w:rsidRPr="004626AE">
        <w:rPr>
          <w:rFonts w:cs="AdvMINION-R"/>
          <w:sz w:val="20"/>
          <w:szCs w:val="20"/>
        </w:rPr>
        <w:t>38.</w:t>
      </w:r>
    </w:p>
    <w:p w:rsidR="004626AE" w:rsidRPr="004626AE" w:rsidRDefault="004626AE" w:rsidP="00462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color w:val="000000"/>
          <w:sz w:val="20"/>
          <w:szCs w:val="20"/>
          <w:lang w:eastAsia="zh-CN"/>
        </w:rPr>
      </w:pPr>
      <w:proofErr w:type="gramStart"/>
      <w:r w:rsidRPr="004626AE">
        <w:rPr>
          <w:rFonts w:eastAsia="Times New Roman" w:cs="Courier New"/>
          <w:color w:val="000000"/>
          <w:sz w:val="20"/>
          <w:szCs w:val="20"/>
          <w:lang w:eastAsia="zh-CN"/>
        </w:rPr>
        <w:t>3)Khawaja</w:t>
      </w:r>
      <w:proofErr w:type="gramEnd"/>
      <w:r w:rsidRPr="004626AE">
        <w:rPr>
          <w:rFonts w:eastAsia="Times New Roman" w:cs="Courier New"/>
          <w:color w:val="000000"/>
          <w:sz w:val="20"/>
          <w:szCs w:val="20"/>
          <w:lang w:eastAsia="zh-CN"/>
        </w:rPr>
        <w:t xml:space="preserve"> AP, </w:t>
      </w:r>
      <w:proofErr w:type="spellStart"/>
      <w:r w:rsidRPr="004626AE">
        <w:rPr>
          <w:rFonts w:eastAsia="Times New Roman" w:cs="Courier New"/>
          <w:color w:val="000000"/>
          <w:sz w:val="20"/>
          <w:szCs w:val="20"/>
          <w:lang w:eastAsia="zh-CN"/>
        </w:rPr>
        <w:t>Sherratt</w:t>
      </w:r>
      <w:proofErr w:type="spellEnd"/>
      <w:r w:rsidRPr="004626AE">
        <w:rPr>
          <w:rFonts w:eastAsia="Times New Roman" w:cs="Courier New"/>
          <w:color w:val="000000"/>
          <w:sz w:val="20"/>
          <w:szCs w:val="20"/>
          <w:lang w:eastAsia="zh-CN"/>
        </w:rPr>
        <w:t xml:space="preserve"> MA, Sparrow JM; Royal College of Ophthalmologists</w:t>
      </w:r>
      <w:r w:rsidR="00B029D2">
        <w:rPr>
          <w:rFonts w:eastAsia="Times New Roman" w:cs="Courier New"/>
          <w:color w:val="000000"/>
          <w:sz w:val="20"/>
          <w:szCs w:val="20"/>
          <w:lang w:eastAsia="zh-CN"/>
        </w:rPr>
        <w:t xml:space="preserve"> </w:t>
      </w:r>
      <w:r w:rsidRPr="004626AE">
        <w:rPr>
          <w:rFonts w:eastAsia="Times New Roman" w:cs="Courier New"/>
          <w:color w:val="000000"/>
          <w:sz w:val="20"/>
          <w:szCs w:val="20"/>
          <w:lang w:eastAsia="zh-CN"/>
        </w:rPr>
        <w:t xml:space="preserve">Glaucoma Commissioning Guidance Development Group. The Royal College </w:t>
      </w:r>
      <w:proofErr w:type="spellStart"/>
      <w:r w:rsidRPr="004626AE">
        <w:rPr>
          <w:rFonts w:eastAsia="Times New Roman" w:cs="Courier New"/>
          <w:color w:val="000000"/>
          <w:sz w:val="20"/>
          <w:szCs w:val="20"/>
          <w:lang w:eastAsia="zh-CN"/>
        </w:rPr>
        <w:t>ofOphthalmologists</w:t>
      </w:r>
      <w:proofErr w:type="spellEnd"/>
      <w:r w:rsidRPr="004626AE">
        <w:rPr>
          <w:rFonts w:eastAsia="Times New Roman" w:cs="Courier New"/>
          <w:color w:val="000000"/>
          <w:sz w:val="20"/>
          <w:szCs w:val="20"/>
          <w:lang w:eastAsia="zh-CN"/>
        </w:rPr>
        <w:t>' Glaucoma Commissioning Guidance: executive summary. Eye (</w:t>
      </w:r>
      <w:proofErr w:type="spellStart"/>
      <w:r w:rsidRPr="004626AE">
        <w:rPr>
          <w:rFonts w:eastAsia="Times New Roman" w:cs="Courier New"/>
          <w:color w:val="000000"/>
          <w:sz w:val="20"/>
          <w:szCs w:val="20"/>
          <w:lang w:eastAsia="zh-CN"/>
        </w:rPr>
        <w:t>Lond</w:t>
      </w:r>
      <w:proofErr w:type="spellEnd"/>
      <w:r w:rsidRPr="004626AE">
        <w:rPr>
          <w:rFonts w:eastAsia="Times New Roman" w:cs="Courier New"/>
          <w:color w:val="000000"/>
          <w:sz w:val="20"/>
          <w:szCs w:val="20"/>
          <w:lang w:eastAsia="zh-CN"/>
        </w:rPr>
        <w:t>).2017 May</w:t>
      </w:r>
      <w:proofErr w:type="gramStart"/>
      <w:r w:rsidRPr="004626AE">
        <w:rPr>
          <w:rFonts w:eastAsia="Times New Roman" w:cs="Courier New"/>
          <w:color w:val="000000"/>
          <w:sz w:val="20"/>
          <w:szCs w:val="20"/>
          <w:lang w:eastAsia="zh-CN"/>
        </w:rPr>
        <w:t>;31</w:t>
      </w:r>
      <w:proofErr w:type="gramEnd"/>
      <w:r w:rsidRPr="004626AE">
        <w:rPr>
          <w:rFonts w:eastAsia="Times New Roman" w:cs="Courier New"/>
          <w:color w:val="000000"/>
          <w:sz w:val="20"/>
          <w:szCs w:val="20"/>
          <w:lang w:eastAsia="zh-CN"/>
        </w:rPr>
        <w:t>(5):818-822</w:t>
      </w:r>
    </w:p>
    <w:p w:rsidR="004626AE" w:rsidRPr="004626AE" w:rsidRDefault="004626AE" w:rsidP="004626AE">
      <w:pPr>
        <w:pStyle w:val="HTMLPreformatted"/>
        <w:rPr>
          <w:rFonts w:ascii="Tw Cen MT" w:hAnsi="Tw Cen MT"/>
          <w:color w:val="000000"/>
        </w:rPr>
      </w:pPr>
      <w:r w:rsidRPr="004626AE">
        <w:rPr>
          <w:rFonts w:ascii="Tw Cen MT" w:hAnsi="Tw Cen MT"/>
          <w:color w:val="000000"/>
        </w:rPr>
        <w:t>4)</w:t>
      </w:r>
      <w:proofErr w:type="spellStart"/>
      <w:r w:rsidRPr="004626AE">
        <w:rPr>
          <w:rFonts w:ascii="Tw Cen MT" w:hAnsi="Tw Cen MT"/>
          <w:color w:val="000000"/>
        </w:rPr>
        <w:t>Ratnarajan</w:t>
      </w:r>
      <w:proofErr w:type="spellEnd"/>
      <w:r w:rsidRPr="004626AE">
        <w:rPr>
          <w:rFonts w:ascii="Tw Cen MT" w:hAnsi="Tw Cen MT"/>
          <w:color w:val="000000"/>
        </w:rPr>
        <w:t xml:space="preserve"> G, Newsom W, French K, Kean J, Chang L, Parker M, </w:t>
      </w:r>
      <w:r>
        <w:rPr>
          <w:rFonts w:ascii="Tw Cen MT" w:hAnsi="Tw Cen MT"/>
          <w:color w:val="000000"/>
        </w:rPr>
        <w:t>et al</w:t>
      </w:r>
      <w:r w:rsidRPr="004626AE">
        <w:rPr>
          <w:rFonts w:ascii="Tw Cen MT" w:hAnsi="Tw Cen MT"/>
          <w:color w:val="000000"/>
        </w:rPr>
        <w:t xml:space="preserve"> The impact of glaucoma referral refinement criteria on referral </w:t>
      </w:r>
      <w:proofErr w:type="spellStart"/>
      <w:r w:rsidRPr="004626AE">
        <w:rPr>
          <w:rFonts w:ascii="Tw Cen MT" w:hAnsi="Tw Cen MT"/>
          <w:color w:val="000000"/>
        </w:rPr>
        <w:t>to,and</w:t>
      </w:r>
      <w:proofErr w:type="spellEnd"/>
      <w:r w:rsidRPr="004626AE">
        <w:rPr>
          <w:rFonts w:ascii="Tw Cen MT" w:hAnsi="Tw Cen MT"/>
          <w:color w:val="000000"/>
        </w:rPr>
        <w:t xml:space="preserve"> first-visit discharge rates from, the hospital eye service: the </w:t>
      </w:r>
      <w:proofErr w:type="spellStart"/>
      <w:r w:rsidRPr="004626AE">
        <w:rPr>
          <w:rFonts w:ascii="Tw Cen MT" w:hAnsi="Tw Cen MT"/>
          <w:color w:val="000000"/>
        </w:rPr>
        <w:t>HealthInnovation</w:t>
      </w:r>
      <w:proofErr w:type="spellEnd"/>
      <w:r w:rsidRPr="004626AE">
        <w:rPr>
          <w:rFonts w:ascii="Tw Cen MT" w:hAnsi="Tw Cen MT"/>
          <w:color w:val="000000"/>
        </w:rPr>
        <w:t xml:space="preserve"> &amp; Education Cluster (HIEC) Glaucoma Pathways project. </w:t>
      </w:r>
      <w:proofErr w:type="spellStart"/>
      <w:r w:rsidRPr="004626AE">
        <w:rPr>
          <w:rFonts w:ascii="Tw Cen MT" w:hAnsi="Tw Cen MT"/>
          <w:color w:val="000000"/>
        </w:rPr>
        <w:t>OphthalmicPhysiol</w:t>
      </w:r>
      <w:proofErr w:type="spellEnd"/>
      <w:r w:rsidRPr="004626AE">
        <w:rPr>
          <w:rFonts w:ascii="Tw Cen MT" w:hAnsi="Tw Cen MT"/>
          <w:color w:val="000000"/>
        </w:rPr>
        <w:t xml:space="preserve"> Opt. 2013 Mar</w:t>
      </w:r>
      <w:proofErr w:type="gramStart"/>
      <w:r w:rsidRPr="004626AE">
        <w:rPr>
          <w:rFonts w:ascii="Tw Cen MT" w:hAnsi="Tw Cen MT"/>
          <w:color w:val="000000"/>
        </w:rPr>
        <w:t>;33</w:t>
      </w:r>
      <w:proofErr w:type="gramEnd"/>
      <w:r w:rsidRPr="004626AE">
        <w:rPr>
          <w:rFonts w:ascii="Tw Cen MT" w:hAnsi="Tw Cen MT"/>
          <w:color w:val="000000"/>
        </w:rPr>
        <w:t>(2):183-9.</w:t>
      </w:r>
    </w:p>
    <w:p w:rsidR="004626AE" w:rsidRPr="004626AE" w:rsidRDefault="004626AE" w:rsidP="004626AE">
      <w:pPr>
        <w:pStyle w:val="HTMLPreformatted"/>
        <w:rPr>
          <w:rFonts w:ascii="Tw Cen MT" w:hAnsi="Tw Cen MT"/>
          <w:color w:val="000000"/>
        </w:rPr>
      </w:pPr>
      <w:proofErr w:type="gramStart"/>
      <w:r w:rsidRPr="004626AE">
        <w:rPr>
          <w:rFonts w:ascii="Tw Cen MT" w:hAnsi="Tw Cen MT"/>
          <w:color w:val="000000"/>
        </w:rPr>
        <w:t>5)</w:t>
      </w:r>
      <w:proofErr w:type="spellStart"/>
      <w:r w:rsidRPr="004626AE">
        <w:rPr>
          <w:rFonts w:ascii="Tw Cen MT" w:hAnsi="Tw Cen MT"/>
          <w:color w:val="000000"/>
        </w:rPr>
        <w:t>Ratnarajan</w:t>
      </w:r>
      <w:proofErr w:type="spellEnd"/>
      <w:proofErr w:type="gramEnd"/>
      <w:r w:rsidRPr="004626AE">
        <w:rPr>
          <w:rFonts w:ascii="Tw Cen MT" w:hAnsi="Tw Cen MT"/>
          <w:color w:val="000000"/>
        </w:rPr>
        <w:t xml:space="preserve"> G, Newsom W, Vernon SA, </w:t>
      </w:r>
      <w:proofErr w:type="spellStart"/>
      <w:r w:rsidRPr="004626AE">
        <w:rPr>
          <w:rFonts w:ascii="Tw Cen MT" w:hAnsi="Tw Cen MT"/>
          <w:color w:val="000000"/>
        </w:rPr>
        <w:t>Fenerty</w:t>
      </w:r>
      <w:proofErr w:type="spellEnd"/>
      <w:r w:rsidRPr="004626AE">
        <w:rPr>
          <w:rFonts w:ascii="Tw Cen MT" w:hAnsi="Tw Cen MT"/>
          <w:color w:val="000000"/>
        </w:rPr>
        <w:t xml:space="preserve"> C, Henson D, Spencer F, </w:t>
      </w:r>
      <w:proofErr w:type="spellStart"/>
      <w:r>
        <w:rPr>
          <w:rFonts w:ascii="Tw Cen MT" w:hAnsi="Tw Cen MT"/>
          <w:color w:val="000000"/>
        </w:rPr>
        <w:t>etal</w:t>
      </w:r>
      <w:proofErr w:type="spellEnd"/>
      <w:r w:rsidRPr="004626AE">
        <w:rPr>
          <w:rFonts w:ascii="Tw Cen MT" w:hAnsi="Tw Cen MT"/>
          <w:color w:val="000000"/>
        </w:rPr>
        <w:t>. The effectiveness of schemes that refine</w:t>
      </w:r>
    </w:p>
    <w:p w:rsidR="004626AE" w:rsidRDefault="004626AE" w:rsidP="004626AE">
      <w:pPr>
        <w:pStyle w:val="HTMLPreformatted"/>
        <w:rPr>
          <w:rFonts w:ascii="Tw Cen MT" w:hAnsi="Tw Cen MT"/>
          <w:color w:val="000000"/>
        </w:rPr>
      </w:pPr>
      <w:proofErr w:type="gramStart"/>
      <w:r w:rsidRPr="004626AE">
        <w:rPr>
          <w:rFonts w:ascii="Tw Cen MT" w:hAnsi="Tw Cen MT"/>
          <w:color w:val="000000"/>
        </w:rPr>
        <w:t>referrals</w:t>
      </w:r>
      <w:proofErr w:type="gramEnd"/>
      <w:r w:rsidRPr="004626AE">
        <w:rPr>
          <w:rFonts w:ascii="Tw Cen MT" w:hAnsi="Tw Cen MT"/>
          <w:color w:val="000000"/>
        </w:rPr>
        <w:t xml:space="preserve"> between pri</w:t>
      </w:r>
      <w:r>
        <w:rPr>
          <w:rFonts w:ascii="Tw Cen MT" w:hAnsi="Tw Cen MT"/>
          <w:color w:val="000000"/>
        </w:rPr>
        <w:t xml:space="preserve">mary and secondary care--the UK </w:t>
      </w:r>
      <w:r w:rsidRPr="004626AE">
        <w:rPr>
          <w:rFonts w:ascii="Tw Cen MT" w:hAnsi="Tw Cen MT"/>
          <w:color w:val="000000"/>
        </w:rPr>
        <w:t>experience with glaucoma</w:t>
      </w:r>
      <w:r>
        <w:rPr>
          <w:rFonts w:ascii="Tw Cen MT" w:hAnsi="Tw Cen MT"/>
          <w:color w:val="000000"/>
        </w:rPr>
        <w:t xml:space="preserve"> </w:t>
      </w:r>
      <w:r w:rsidRPr="004626AE">
        <w:rPr>
          <w:rFonts w:ascii="Tw Cen MT" w:hAnsi="Tw Cen MT"/>
          <w:color w:val="000000"/>
        </w:rPr>
        <w:t xml:space="preserve">referrals: the Health Innovation &amp; Education Cluster (HIEC) Glaucoma </w:t>
      </w:r>
      <w:proofErr w:type="spellStart"/>
      <w:r w:rsidRPr="004626AE">
        <w:rPr>
          <w:rFonts w:ascii="Tw Cen MT" w:hAnsi="Tw Cen MT"/>
          <w:color w:val="000000"/>
        </w:rPr>
        <w:t>PathwaysProject</w:t>
      </w:r>
      <w:proofErr w:type="spellEnd"/>
      <w:r w:rsidRPr="004626AE">
        <w:rPr>
          <w:rFonts w:ascii="Tw Cen MT" w:hAnsi="Tw Cen MT"/>
          <w:color w:val="000000"/>
        </w:rPr>
        <w:t>. BMJ Open. 2013 Jul 21</w:t>
      </w:r>
      <w:proofErr w:type="gramStart"/>
      <w:r w:rsidRPr="004626AE">
        <w:rPr>
          <w:rFonts w:ascii="Tw Cen MT" w:hAnsi="Tw Cen MT"/>
          <w:color w:val="000000"/>
        </w:rPr>
        <w:t>;3</w:t>
      </w:r>
      <w:proofErr w:type="gramEnd"/>
      <w:r w:rsidRPr="004626AE">
        <w:rPr>
          <w:rFonts w:ascii="Tw Cen MT" w:hAnsi="Tw Cen MT"/>
          <w:color w:val="000000"/>
        </w:rPr>
        <w:t>(7)</w:t>
      </w:r>
    </w:p>
    <w:p w:rsidR="004626AE" w:rsidRDefault="004626AE" w:rsidP="004626AE">
      <w:pPr>
        <w:pStyle w:val="HTMLPreformatted"/>
        <w:rPr>
          <w:rStyle w:val="articlecitationvolume"/>
          <w:rFonts w:ascii="Tw Cen MT" w:hAnsi="Tw Cen MT"/>
          <w:color w:val="666666"/>
          <w:shd w:val="clear" w:color="auto" w:fill="FFFFFF"/>
        </w:rPr>
      </w:pPr>
      <w:r w:rsidRPr="004626AE">
        <w:rPr>
          <w:rFonts w:ascii="Tw Cen MT" w:hAnsi="Tw Cen MT"/>
          <w:color w:val="000000"/>
        </w:rPr>
        <w:t>6)</w:t>
      </w:r>
      <w:r w:rsidRPr="004626AE">
        <w:rPr>
          <w:rFonts w:ascii="Tw Cen MT" w:hAnsi="Tw Cen MT"/>
        </w:rPr>
        <w:t xml:space="preserve"> </w:t>
      </w:r>
      <w:r w:rsidRPr="004626AE">
        <w:rPr>
          <w:rFonts w:ascii="Tw Cen MT" w:hAnsi="Tw Cen MT" w:cs="Times New Roman"/>
        </w:rPr>
        <w:t>El-</w:t>
      </w:r>
      <w:proofErr w:type="spellStart"/>
      <w:r w:rsidRPr="004626AE">
        <w:rPr>
          <w:rFonts w:ascii="Tw Cen MT" w:hAnsi="Tw Cen MT" w:cs="Times New Roman"/>
        </w:rPr>
        <w:t>Assal</w:t>
      </w:r>
      <w:proofErr w:type="gramStart"/>
      <w:r w:rsidRPr="004626AE">
        <w:rPr>
          <w:rFonts w:ascii="Tw Cen MT" w:hAnsi="Tw Cen MT" w:cs="Times New Roman"/>
        </w:rPr>
        <w:t>,K</w:t>
      </w:r>
      <w:proofErr w:type="spellEnd"/>
      <w:proofErr w:type="gramEnd"/>
      <w:r w:rsidRPr="004626AE">
        <w:rPr>
          <w:rFonts w:ascii="Tw Cen MT" w:hAnsi="Tw Cen MT" w:cs="Times New Roman"/>
        </w:rPr>
        <w:t>., </w:t>
      </w:r>
      <w:proofErr w:type="spellStart"/>
      <w:r w:rsidRPr="004626AE">
        <w:rPr>
          <w:rFonts w:ascii="Tw Cen MT" w:hAnsi="Tw Cen MT" w:cs="Times New Roman"/>
        </w:rPr>
        <w:t>Foulds,J.,Dobson</w:t>
      </w:r>
      <w:proofErr w:type="spellEnd"/>
      <w:r w:rsidRPr="004626AE">
        <w:rPr>
          <w:rFonts w:ascii="Tw Cen MT" w:hAnsi="Tw Cen MT" w:cs="Times New Roman"/>
        </w:rPr>
        <w:t xml:space="preserve">, </w:t>
      </w:r>
      <w:proofErr w:type="spellStart"/>
      <w:r w:rsidRPr="004626AE">
        <w:rPr>
          <w:rFonts w:ascii="Tw Cen MT" w:hAnsi="Tw Cen MT" w:cs="Times New Roman"/>
        </w:rPr>
        <w:t>S.,Sanders</w:t>
      </w:r>
      <w:proofErr w:type="spellEnd"/>
      <w:r w:rsidRPr="004626AE">
        <w:rPr>
          <w:rFonts w:ascii="Tw Cen MT" w:hAnsi="Tw Cen MT" w:cs="Times New Roman"/>
        </w:rPr>
        <w:t xml:space="preserve">, R. </w:t>
      </w:r>
      <w:r w:rsidRPr="004626AE">
        <w:rPr>
          <w:rFonts w:ascii="Tw Cen MT" w:hAnsi="Tw Cen MT" w:cs="Times New Roman"/>
          <w:color w:val="333333"/>
          <w:kern w:val="36"/>
          <w:lang w:val="en"/>
        </w:rPr>
        <w:t xml:space="preserve">A comparative study of glaucoma referrals in Southeast Scotland: effect of the new general ophthalmic service contract, </w:t>
      </w:r>
      <w:proofErr w:type="spellStart"/>
      <w:r w:rsidRPr="004626AE">
        <w:rPr>
          <w:rFonts w:ascii="Tw Cen MT" w:hAnsi="Tw Cen MT" w:cs="Times New Roman"/>
          <w:color w:val="333333"/>
          <w:kern w:val="36"/>
          <w:lang w:val="en"/>
        </w:rPr>
        <w:t>Eyecare</w:t>
      </w:r>
      <w:proofErr w:type="spellEnd"/>
      <w:r w:rsidRPr="004626AE">
        <w:rPr>
          <w:rFonts w:ascii="Tw Cen MT" w:hAnsi="Tw Cen MT" w:cs="Times New Roman"/>
          <w:color w:val="333333"/>
          <w:kern w:val="36"/>
          <w:lang w:val="en"/>
        </w:rPr>
        <w:t xml:space="preserve"> integration pilot </w:t>
      </w:r>
      <w:proofErr w:type="spellStart"/>
      <w:r w:rsidRPr="004626AE">
        <w:rPr>
          <w:rFonts w:ascii="Tw Cen MT" w:hAnsi="Tw Cen MT" w:cs="Times New Roman"/>
          <w:color w:val="333333"/>
          <w:kern w:val="36"/>
          <w:lang w:val="en"/>
        </w:rPr>
        <w:t>programme</w:t>
      </w:r>
      <w:proofErr w:type="spellEnd"/>
      <w:r w:rsidRPr="004626AE">
        <w:rPr>
          <w:rFonts w:ascii="Tw Cen MT" w:hAnsi="Tw Cen MT" w:cs="Times New Roman"/>
          <w:color w:val="333333"/>
          <w:kern w:val="36"/>
          <w:lang w:val="en"/>
        </w:rPr>
        <w:t xml:space="preserve"> and NICE guidelines, </w:t>
      </w:r>
      <w:r w:rsidRPr="004626AE">
        <w:rPr>
          <w:rStyle w:val="journaltitle"/>
          <w:rFonts w:ascii="Tw Cen MT" w:hAnsi="Tw Cen MT"/>
          <w:i/>
          <w:iCs/>
          <w:color w:val="666666"/>
          <w:shd w:val="clear" w:color="auto" w:fill="FFFFFF"/>
        </w:rPr>
        <w:t>BMC Ophthalmology</w:t>
      </w:r>
      <w:r w:rsidRPr="004626AE">
        <w:rPr>
          <w:rStyle w:val="articlecitationyear"/>
          <w:rFonts w:ascii="Tw Cen MT" w:eastAsia="Tw Cen MT" w:hAnsi="Tw Cen MT"/>
          <w:color w:val="666666"/>
          <w:shd w:val="clear" w:color="auto" w:fill="FFFFFF"/>
        </w:rPr>
        <w:t>2015</w:t>
      </w:r>
      <w:r w:rsidRPr="004626AE">
        <w:rPr>
          <w:rStyle w:val="Strong"/>
          <w:rFonts w:ascii="Tw Cen MT" w:eastAsia="Tw Cen MT" w:hAnsi="Tw Cen MT"/>
          <w:b w:val="0"/>
          <w:color w:val="666666"/>
          <w:shd w:val="clear" w:color="auto" w:fill="FFFFFF"/>
        </w:rPr>
        <w:t>15</w:t>
      </w:r>
      <w:r w:rsidRPr="004626AE">
        <w:rPr>
          <w:rStyle w:val="articlecitationvolume"/>
          <w:rFonts w:ascii="Tw Cen MT" w:hAnsi="Tw Cen MT"/>
          <w:color w:val="666666"/>
          <w:shd w:val="clear" w:color="auto" w:fill="FFFFFF"/>
        </w:rPr>
        <w:t>:172</w:t>
      </w:r>
    </w:p>
    <w:p w:rsidR="004626AE" w:rsidRPr="004626AE" w:rsidRDefault="004626AE" w:rsidP="004626AE">
      <w:pPr>
        <w:pStyle w:val="Heading1"/>
        <w:shd w:val="clear" w:color="auto" w:fill="F8F8F8"/>
        <w:spacing w:after="120"/>
        <w:rPr>
          <w:rFonts w:ascii="Tw Cen MT" w:hAnsi="Tw Cen MT"/>
          <w:b w:val="0"/>
          <w:sz w:val="20"/>
          <w:szCs w:val="20"/>
        </w:rPr>
      </w:pPr>
    </w:p>
    <w:p w:rsidR="00AE3E37" w:rsidRPr="004626AE" w:rsidRDefault="00AE3E37">
      <w:pPr>
        <w:pStyle w:val="BodyText"/>
        <w:rPr>
          <w:sz w:val="20"/>
          <w:szCs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43309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C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4416E" w:rsidRDefault="00B029D2" w:rsidP="00A4416E">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Samantha Sii is currently </w:t>
      </w:r>
      <w:proofErr w:type="gramStart"/>
      <w:r>
        <w:rPr>
          <w:rFonts w:ascii="Arial"/>
          <w:sz w:val="14"/>
        </w:rPr>
        <w:t>an</w:t>
      </w:r>
      <w:proofErr w:type="gramEnd"/>
      <w:r>
        <w:rPr>
          <w:rFonts w:ascii="Arial"/>
          <w:sz w:val="14"/>
        </w:rPr>
        <w:t xml:space="preserve"> year 2 foundation doctor doing her 4 months academic fellowship in </w:t>
      </w:r>
      <w:proofErr w:type="spellStart"/>
      <w:r>
        <w:rPr>
          <w:rFonts w:ascii="Arial"/>
          <w:sz w:val="14"/>
        </w:rPr>
        <w:t>Moorfields</w:t>
      </w:r>
      <w:proofErr w:type="spellEnd"/>
      <w:r>
        <w:rPr>
          <w:rFonts w:ascii="Arial"/>
          <w:sz w:val="14"/>
        </w:rPr>
        <w:t xml:space="preserve"> Eye Hospital, London as a honorary research fellow supported by the </w:t>
      </w:r>
      <w:proofErr w:type="spellStart"/>
      <w:r>
        <w:rPr>
          <w:rFonts w:ascii="Arial"/>
          <w:sz w:val="14"/>
        </w:rPr>
        <w:t>Wellcome</w:t>
      </w:r>
      <w:proofErr w:type="spellEnd"/>
      <w:r>
        <w:rPr>
          <w:rFonts w:ascii="Arial"/>
          <w:sz w:val="14"/>
        </w:rPr>
        <w:t xml:space="preserve"> Trust. She is passionate about the field of ophthalmology and hopes to be able to further </w:t>
      </w:r>
      <w:r w:rsidR="00A4416E">
        <w:rPr>
          <w:rFonts w:ascii="Arial"/>
          <w:sz w:val="14"/>
        </w:rPr>
        <w:t>her</w:t>
      </w:r>
      <w:r>
        <w:rPr>
          <w:rFonts w:ascii="Arial"/>
          <w:sz w:val="14"/>
        </w:rPr>
        <w:t xml:space="preserve"> research in the glaucoma specialty in the UK.</w:t>
      </w:r>
      <w:r w:rsidR="00561D2B">
        <w:rPr>
          <w:rFonts w:ascii="Arial"/>
          <w:sz w:val="14"/>
        </w:rPr>
        <w:t xml:space="preserve"> The Scottish Intercollegiate Guidelines Network (SIGN) develops evidence based best practice recommendations for NHS Scotland. To our knowledge, there has not been any studies published on the impact of SIGN guidelines 144 on quality of glaucoma referrals in Scotland. We hope that this study can help shed some light on areas which still needs improvement within NHS </w:t>
      </w:r>
      <w:proofErr w:type="spellStart"/>
      <w:r w:rsidR="00561D2B">
        <w:rPr>
          <w:rFonts w:ascii="Arial"/>
          <w:sz w:val="14"/>
        </w:rPr>
        <w:t>Scotland.This</w:t>
      </w:r>
      <w:proofErr w:type="spellEnd"/>
      <w:r w:rsidR="00561D2B">
        <w:rPr>
          <w:rFonts w:ascii="Arial"/>
          <w:sz w:val="14"/>
        </w:rPr>
        <w:t xml:space="preserve"> is a 2 year long retrospective case analysis to enable comparison of before and after SIGN guidelines</w:t>
      </w:r>
      <w:r w:rsidR="00A4416E">
        <w:rPr>
          <w:rFonts w:ascii="Arial"/>
          <w:sz w:val="14"/>
        </w:rPr>
        <w:t xml:space="preserve"> was introduced</w:t>
      </w:r>
      <w:r w:rsidR="00561D2B">
        <w:rPr>
          <w:rFonts w:ascii="Arial"/>
          <w:sz w:val="14"/>
        </w:rPr>
        <w:t xml:space="preserve">. </w:t>
      </w:r>
      <w:r>
        <w:rPr>
          <w:rFonts w:ascii="Arial"/>
          <w:sz w:val="14"/>
        </w:rPr>
        <w:t xml:space="preserve">There is no conflict of interest to declare. </w:t>
      </w:r>
    </w:p>
    <w:p w:rsidR="00A4416E" w:rsidRDefault="00A4416E" w:rsidP="00A4416E">
      <w:pPr>
        <w:spacing w:before="41" w:line="154" w:lineRule="exact"/>
        <w:ind w:left="213" w:right="231"/>
        <w:jc w:val="both"/>
        <w:rPr>
          <w:rFonts w:ascii="Arial"/>
          <w:sz w:val="14"/>
        </w:rPr>
      </w:pPr>
    </w:p>
    <w:p w:rsidR="00A4416E" w:rsidRDefault="00A4416E" w:rsidP="00A4416E">
      <w:pPr>
        <w:spacing w:before="41" w:line="154" w:lineRule="exact"/>
        <w:ind w:left="213" w:right="231"/>
        <w:jc w:val="both"/>
        <w:rPr>
          <w:rFonts w:ascii="Arial"/>
          <w:sz w:val="14"/>
        </w:rPr>
      </w:pPr>
    </w:p>
    <w:p w:rsidR="00AE3E37" w:rsidRDefault="00A9710C" w:rsidP="00A4416E">
      <w:pPr>
        <w:spacing w:before="41" w:line="154" w:lineRule="exact"/>
        <w:ind w:left="213" w:right="231"/>
        <w:jc w:val="both"/>
        <w:rPr>
          <w:rFonts w:ascii="Arial"/>
          <w:sz w:val="14"/>
        </w:rPr>
      </w:pPr>
      <w:r>
        <w:rPr>
          <w:rFonts w:ascii="Arial"/>
          <w:sz w:val="14"/>
        </w:rPr>
        <w:t>Email:</w:t>
      </w:r>
      <w:r w:rsidR="00A4416E">
        <w:t>samanthasii@doctors.org.uk</w:t>
      </w:r>
      <w:r w:rsidR="00A4416E">
        <w:rPr>
          <w:rFonts w:ascii="Arial"/>
          <w:sz w:val="14"/>
        </w:rPr>
        <w:t xml:space="preserve"> </w:t>
      </w:r>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66C8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981" w:rsidRDefault="00394981">
      <w:r>
        <w:separator/>
      </w:r>
    </w:p>
  </w:endnote>
  <w:endnote w:type="continuationSeparator" w:id="0">
    <w:p w:rsidR="00394981" w:rsidRDefault="00394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MINION-I">
    <w:panose1 w:val="00000000000000000000"/>
    <w:charset w:val="00"/>
    <w:family w:val="swiss"/>
    <w:notTrueType/>
    <w:pitch w:val="default"/>
    <w:sig w:usb0="00000003" w:usb1="00000000" w:usb2="00000000" w:usb3="00000000" w:csb0="00000001" w:csb1="00000000"/>
  </w:font>
  <w:font w:name="AdvMINION-R">
    <w:panose1 w:val="00000000000000000000"/>
    <w:charset w:val="00"/>
    <w:family w:val="roman"/>
    <w:notTrueType/>
    <w:pitch w:val="default"/>
    <w:sig w:usb0="00000003" w:usb1="00000000" w:usb2="00000000" w:usb3="00000000" w:csb0="00000001" w:csb1="00000000"/>
  </w:font>
  <w:font w:name="AdvTT3713a231+20">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333" w:rsidRDefault="00134333">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4333" w:rsidRPr="005B3A56" w:rsidRDefault="0013433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34333" w:rsidRPr="005B3A56" w:rsidRDefault="0013433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134333" w:rsidRPr="005B3A56" w:rsidRDefault="0013433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34333" w:rsidRPr="005B3A56" w:rsidRDefault="0013433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4333" w:rsidRPr="005B3A56" w:rsidRDefault="0013433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34333" w:rsidRPr="005B3A56" w:rsidRDefault="0013433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134333" w:rsidRPr="005B3A56" w:rsidRDefault="0013433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34333" w:rsidRPr="005B3A56" w:rsidRDefault="0013433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4333" w:rsidRPr="005B3A56" w:rsidRDefault="0013433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34333" w:rsidRPr="005B3A56" w:rsidRDefault="0013433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134333" w:rsidRPr="005B3A56" w:rsidRDefault="0013433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34333" w:rsidRPr="005B3A56" w:rsidRDefault="0013433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981" w:rsidRDefault="00394981">
      <w:r>
        <w:separator/>
      </w:r>
    </w:p>
  </w:footnote>
  <w:footnote w:type="continuationSeparator" w:id="0">
    <w:p w:rsidR="00394981" w:rsidRDefault="003949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333" w:rsidRDefault="00134333">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4333" w:rsidRPr="005B3A56" w:rsidRDefault="0013433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134333" w:rsidRPr="005B3A56" w:rsidRDefault="0013433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4333" w:rsidRPr="005B3A56" w:rsidRDefault="0013433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134333" w:rsidRPr="005B3A56" w:rsidRDefault="0013433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134333" w:rsidRPr="005B3A56" w:rsidRDefault="0013433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134333" w:rsidRPr="005B3A56" w:rsidRDefault="0013433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183E"/>
    <w:rsid w:val="001263DF"/>
    <w:rsid w:val="00134333"/>
    <w:rsid w:val="00292ED9"/>
    <w:rsid w:val="00394981"/>
    <w:rsid w:val="00404E5B"/>
    <w:rsid w:val="00414F7B"/>
    <w:rsid w:val="004355DC"/>
    <w:rsid w:val="004626AE"/>
    <w:rsid w:val="004749B4"/>
    <w:rsid w:val="00494130"/>
    <w:rsid w:val="004F3523"/>
    <w:rsid w:val="00561D2B"/>
    <w:rsid w:val="005973B9"/>
    <w:rsid w:val="005B3A56"/>
    <w:rsid w:val="006060CE"/>
    <w:rsid w:val="00630C31"/>
    <w:rsid w:val="0063497F"/>
    <w:rsid w:val="00676CC6"/>
    <w:rsid w:val="00703FCF"/>
    <w:rsid w:val="00761E1F"/>
    <w:rsid w:val="008703A7"/>
    <w:rsid w:val="00873DF0"/>
    <w:rsid w:val="008756E6"/>
    <w:rsid w:val="009B2D44"/>
    <w:rsid w:val="009E2CBD"/>
    <w:rsid w:val="00A07E82"/>
    <w:rsid w:val="00A4416E"/>
    <w:rsid w:val="00A92311"/>
    <w:rsid w:val="00A9710C"/>
    <w:rsid w:val="00AE3E37"/>
    <w:rsid w:val="00AE6F28"/>
    <w:rsid w:val="00B029D2"/>
    <w:rsid w:val="00B21A57"/>
    <w:rsid w:val="00C33602"/>
    <w:rsid w:val="00CB7125"/>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B0449C-7D28-49E7-9E12-9AB37F1C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PlainTable2">
    <w:name w:val="Plain Table 2"/>
    <w:basedOn w:val="TableNormal"/>
    <w:uiPriority w:val="42"/>
    <w:rsid w:val="00630C31"/>
    <w:pPr>
      <w:widowControl/>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Preformatted">
    <w:name w:val="HTML Preformatted"/>
    <w:basedOn w:val="Normal"/>
    <w:link w:val="HTMLPreformattedChar"/>
    <w:uiPriority w:val="99"/>
    <w:unhideWhenUsed/>
    <w:rsid w:val="004626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zh-CN"/>
    </w:rPr>
  </w:style>
  <w:style w:type="character" w:customStyle="1" w:styleId="HTMLPreformattedChar">
    <w:name w:val="HTML Preformatted Char"/>
    <w:basedOn w:val="DefaultParagraphFont"/>
    <w:link w:val="HTMLPreformatted"/>
    <w:uiPriority w:val="99"/>
    <w:rsid w:val="004626AE"/>
    <w:rPr>
      <w:rFonts w:ascii="Courier New" w:eastAsia="Times New Roman" w:hAnsi="Courier New" w:cs="Courier New"/>
      <w:sz w:val="20"/>
      <w:szCs w:val="20"/>
      <w:lang w:eastAsia="zh-CN"/>
    </w:rPr>
  </w:style>
  <w:style w:type="character" w:customStyle="1" w:styleId="journaltitle">
    <w:name w:val="journaltitle"/>
    <w:basedOn w:val="DefaultParagraphFont"/>
    <w:rsid w:val="004626AE"/>
  </w:style>
  <w:style w:type="character" w:customStyle="1" w:styleId="articlecitationyear">
    <w:name w:val="articlecitation_year"/>
    <w:basedOn w:val="DefaultParagraphFont"/>
    <w:rsid w:val="004626AE"/>
  </w:style>
  <w:style w:type="character" w:customStyle="1" w:styleId="articlecitationvolume">
    <w:name w:val="articlecitation_volume"/>
    <w:basedOn w:val="DefaultParagraphFont"/>
    <w:rsid w:val="004626AE"/>
  </w:style>
  <w:style w:type="character" w:styleId="Strong">
    <w:name w:val="Strong"/>
    <w:basedOn w:val="DefaultParagraphFont"/>
    <w:uiPriority w:val="22"/>
    <w:qFormat/>
    <w:rsid w:val="004626AE"/>
    <w:rPr>
      <w:b/>
      <w:bCs/>
    </w:rPr>
  </w:style>
  <w:style w:type="character" w:customStyle="1" w:styleId="ref-journal">
    <w:name w:val="ref-journal"/>
    <w:basedOn w:val="DefaultParagraphFont"/>
    <w:rsid w:val="00462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Samantha Sii</cp:lastModifiedBy>
  <cp:revision>2</cp:revision>
  <dcterms:created xsi:type="dcterms:W3CDTF">2017-09-18T09:06:00Z</dcterms:created>
  <dcterms:modified xsi:type="dcterms:W3CDTF">2017-09-18T09:06:00Z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