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A1DB4B" w14:textId="3B446F8C" w:rsidR="00502B67" w:rsidRPr="00502B67" w:rsidRDefault="00502B67" w:rsidP="008821A6">
      <w:pPr>
        <w:pBdr>
          <w:left w:val="single" w:sz="4" w:space="4" w:color="auto"/>
        </w:pBdr>
        <w:jc w:val="both"/>
        <w:rPr>
          <w:rFonts w:ascii="Times New Roman" w:hAnsi="Times New Roman" w:cs="Times New Roman"/>
          <w:b/>
          <w:sz w:val="32"/>
          <w:szCs w:val="32"/>
        </w:rPr>
      </w:pPr>
      <w:bookmarkStart w:id="0" w:name="_GoBack"/>
      <w:r w:rsidRPr="00502B67">
        <w:rPr>
          <w:rFonts w:ascii="Times New Roman" w:hAnsi="Times New Roman" w:cs="Times New Roman"/>
          <w:b/>
          <w:sz w:val="32"/>
          <w:szCs w:val="32"/>
        </w:rPr>
        <w:t>Frequency of nasolacrimal duct diseases in patient with glaucoma</w:t>
      </w:r>
    </w:p>
    <w:bookmarkEnd w:id="0"/>
    <w:p w14:paraId="4B7826F3" w14:textId="77777777" w:rsidR="00502B67" w:rsidRDefault="00502B67" w:rsidP="008821A6">
      <w:pPr>
        <w:pBdr>
          <w:left w:val="single" w:sz="4" w:space="4" w:color="auto"/>
        </w:pBdr>
        <w:jc w:val="both"/>
        <w:rPr>
          <w:rFonts w:ascii="Times New Roman" w:hAnsi="Times New Roman" w:cs="Times New Roman"/>
          <w:b/>
          <w:sz w:val="28"/>
          <w:szCs w:val="28"/>
        </w:rPr>
      </w:pPr>
    </w:p>
    <w:p w14:paraId="3D1033BA" w14:textId="6004F117" w:rsidR="00D42C48" w:rsidRPr="008821A6" w:rsidRDefault="009B1E1E" w:rsidP="008821A6">
      <w:pPr>
        <w:pBdr>
          <w:left w:val="single" w:sz="4" w:space="4" w:color="auto"/>
        </w:pBdr>
        <w:jc w:val="both"/>
        <w:rPr>
          <w:rFonts w:ascii="Times New Roman" w:hAnsi="Times New Roman" w:cs="Times New Roman"/>
          <w:sz w:val="28"/>
          <w:szCs w:val="28"/>
        </w:rPr>
      </w:pPr>
      <w:r w:rsidRPr="00997ADC">
        <w:rPr>
          <w:rFonts w:ascii="Times New Roman" w:hAnsi="Times New Roman" w:cs="Times New Roman"/>
          <w:b/>
          <w:sz w:val="28"/>
          <w:szCs w:val="28"/>
        </w:rPr>
        <w:t>Propose</w:t>
      </w:r>
      <w:r w:rsidR="0040212D" w:rsidRPr="00997ADC">
        <w:rPr>
          <w:rFonts w:ascii="Times New Roman" w:hAnsi="Times New Roman" w:cs="Times New Roman"/>
          <w:b/>
          <w:sz w:val="28"/>
          <w:szCs w:val="28"/>
        </w:rPr>
        <w:t>:</w:t>
      </w:r>
      <w:r w:rsidR="0040212D" w:rsidRPr="008821A6">
        <w:rPr>
          <w:rFonts w:ascii="Times New Roman" w:hAnsi="Times New Roman" w:cs="Times New Roman"/>
          <w:sz w:val="28"/>
          <w:szCs w:val="28"/>
        </w:rPr>
        <w:t xml:space="preserve"> </w:t>
      </w:r>
      <w:r w:rsidR="00997ADC">
        <w:rPr>
          <w:rFonts w:ascii="Times New Roman" w:hAnsi="Times New Roman" w:cs="Times New Roman"/>
          <w:sz w:val="28"/>
          <w:szCs w:val="28"/>
        </w:rPr>
        <w:t>T</w:t>
      </w:r>
      <w:r w:rsidR="001C2551" w:rsidRPr="008821A6">
        <w:rPr>
          <w:rFonts w:ascii="Times New Roman" w:hAnsi="Times New Roman" w:cs="Times New Roman"/>
          <w:sz w:val="28"/>
          <w:szCs w:val="28"/>
        </w:rPr>
        <w:t xml:space="preserve">o study the frequency of occurrence of pathology of the nasolacrimal ducts in patients for a long time instilling anti-glaucoma </w:t>
      </w:r>
      <w:proofErr w:type="gramStart"/>
      <w:r w:rsidR="001C2551" w:rsidRPr="008821A6">
        <w:rPr>
          <w:rFonts w:ascii="Times New Roman" w:hAnsi="Times New Roman" w:cs="Times New Roman"/>
          <w:sz w:val="28"/>
          <w:szCs w:val="28"/>
        </w:rPr>
        <w:t>preparations</w:t>
      </w:r>
      <w:proofErr w:type="gramEnd"/>
      <w:r w:rsidR="001C2551" w:rsidRPr="008821A6">
        <w:rPr>
          <w:rFonts w:ascii="Times New Roman" w:hAnsi="Times New Roman" w:cs="Times New Roman"/>
          <w:sz w:val="28"/>
          <w:szCs w:val="28"/>
        </w:rPr>
        <w:t>.</w:t>
      </w:r>
    </w:p>
    <w:p w14:paraId="319D4BF3" w14:textId="77777777" w:rsidR="0040212D" w:rsidRPr="008821A6" w:rsidRDefault="0040212D" w:rsidP="008821A6">
      <w:pPr>
        <w:pBdr>
          <w:left w:val="single" w:sz="4" w:space="4" w:color="auto"/>
        </w:pBdr>
        <w:jc w:val="both"/>
        <w:rPr>
          <w:rFonts w:ascii="Times New Roman" w:hAnsi="Times New Roman" w:cs="Times New Roman"/>
          <w:sz w:val="28"/>
          <w:szCs w:val="28"/>
        </w:rPr>
      </w:pPr>
    </w:p>
    <w:p w14:paraId="7A7779E6" w14:textId="77777777" w:rsidR="001C2551" w:rsidRDefault="0040212D" w:rsidP="008821A6">
      <w:pPr>
        <w:pBdr>
          <w:left w:val="single" w:sz="4" w:space="4" w:color="auto"/>
        </w:pBdr>
        <w:jc w:val="both"/>
        <w:rPr>
          <w:rFonts w:ascii="Times New Roman" w:hAnsi="Times New Roman" w:cs="Times New Roman"/>
          <w:sz w:val="28"/>
          <w:szCs w:val="28"/>
        </w:rPr>
      </w:pPr>
      <w:r w:rsidRPr="00997ADC">
        <w:rPr>
          <w:rFonts w:ascii="Times New Roman" w:hAnsi="Times New Roman" w:cs="Times New Roman"/>
          <w:b/>
          <w:sz w:val="28"/>
          <w:szCs w:val="28"/>
        </w:rPr>
        <w:t>Material and methods:</w:t>
      </w:r>
      <w:r w:rsidRPr="008821A6">
        <w:rPr>
          <w:rFonts w:ascii="Times New Roman" w:hAnsi="Times New Roman" w:cs="Times New Roman"/>
          <w:sz w:val="28"/>
          <w:szCs w:val="28"/>
        </w:rPr>
        <w:t xml:space="preserve"> The </w:t>
      </w:r>
      <w:proofErr w:type="gramStart"/>
      <w:r w:rsidR="009B1E1E">
        <w:rPr>
          <w:rFonts w:ascii="Times New Roman" w:hAnsi="Times New Roman" w:cs="Times New Roman"/>
          <w:sz w:val="28"/>
          <w:szCs w:val="28"/>
        </w:rPr>
        <w:t>st</w:t>
      </w:r>
      <w:r w:rsidR="00997ADC">
        <w:rPr>
          <w:rFonts w:ascii="Times New Roman" w:hAnsi="Times New Roman" w:cs="Times New Roman"/>
          <w:sz w:val="28"/>
          <w:szCs w:val="28"/>
        </w:rPr>
        <w:t>u</w:t>
      </w:r>
      <w:r w:rsidR="009B1E1E">
        <w:rPr>
          <w:rFonts w:ascii="Times New Roman" w:hAnsi="Times New Roman" w:cs="Times New Roman"/>
          <w:sz w:val="28"/>
          <w:szCs w:val="28"/>
        </w:rPr>
        <w:t>dy</w:t>
      </w:r>
      <w:r w:rsidR="00997ADC">
        <w:rPr>
          <w:rFonts w:ascii="Times New Roman" w:hAnsi="Times New Roman" w:cs="Times New Roman"/>
          <w:sz w:val="28"/>
          <w:szCs w:val="28"/>
        </w:rPr>
        <w:t xml:space="preserve"> </w:t>
      </w:r>
      <w:r w:rsidR="009B1E1E">
        <w:rPr>
          <w:rFonts w:ascii="Times New Roman" w:hAnsi="Times New Roman" w:cs="Times New Roman"/>
          <w:sz w:val="28"/>
          <w:szCs w:val="28"/>
        </w:rPr>
        <w:t xml:space="preserve"> </w:t>
      </w:r>
      <w:r w:rsidRPr="008821A6">
        <w:rPr>
          <w:rFonts w:ascii="Times New Roman" w:hAnsi="Times New Roman" w:cs="Times New Roman"/>
          <w:sz w:val="28"/>
          <w:szCs w:val="28"/>
        </w:rPr>
        <w:t>was</w:t>
      </w:r>
      <w:proofErr w:type="gramEnd"/>
      <w:r w:rsidRPr="008821A6">
        <w:rPr>
          <w:rFonts w:ascii="Times New Roman" w:hAnsi="Times New Roman" w:cs="Times New Roman"/>
          <w:sz w:val="28"/>
          <w:szCs w:val="28"/>
        </w:rPr>
        <w:t xml:space="preserve"> performed on the basis of National Centre of Ophthalmology named after acad. </w:t>
      </w:r>
      <w:proofErr w:type="spellStart"/>
      <w:r w:rsidRPr="008821A6">
        <w:rPr>
          <w:rFonts w:ascii="Times New Roman" w:hAnsi="Times New Roman" w:cs="Times New Roman"/>
          <w:sz w:val="28"/>
          <w:szCs w:val="28"/>
        </w:rPr>
        <w:t>Zarifa</w:t>
      </w:r>
      <w:proofErr w:type="spellEnd"/>
      <w:r w:rsidRPr="008821A6">
        <w:rPr>
          <w:rFonts w:ascii="Times New Roman" w:hAnsi="Times New Roman" w:cs="Times New Roman"/>
          <w:sz w:val="28"/>
          <w:szCs w:val="28"/>
        </w:rPr>
        <w:t xml:space="preserve"> </w:t>
      </w:r>
      <w:proofErr w:type="spellStart"/>
      <w:r w:rsidRPr="008821A6">
        <w:rPr>
          <w:rFonts w:ascii="Times New Roman" w:hAnsi="Times New Roman" w:cs="Times New Roman"/>
          <w:sz w:val="28"/>
          <w:szCs w:val="28"/>
        </w:rPr>
        <w:t>Aliyeva</w:t>
      </w:r>
      <w:proofErr w:type="spellEnd"/>
      <w:r w:rsidRPr="008821A6">
        <w:rPr>
          <w:rFonts w:ascii="Times New Roman" w:hAnsi="Times New Roman" w:cs="Times New Roman"/>
          <w:sz w:val="28"/>
          <w:szCs w:val="28"/>
        </w:rPr>
        <w:t xml:space="preserve"> in 2018. The clinical study </w:t>
      </w:r>
      <w:r w:rsidR="001247E2">
        <w:rPr>
          <w:rFonts w:ascii="Times New Roman" w:hAnsi="Times New Roman" w:cs="Times New Roman"/>
          <w:sz w:val="28"/>
          <w:szCs w:val="28"/>
        </w:rPr>
        <w:t>group consisted of</w:t>
      </w:r>
      <w:r w:rsidRPr="008821A6">
        <w:rPr>
          <w:rFonts w:ascii="Times New Roman" w:hAnsi="Times New Roman" w:cs="Times New Roman"/>
          <w:sz w:val="28"/>
          <w:szCs w:val="28"/>
        </w:rPr>
        <w:t xml:space="preserve"> 350 </w:t>
      </w:r>
      <w:r w:rsidR="001247E2">
        <w:rPr>
          <w:rFonts w:ascii="Times New Roman" w:hAnsi="Times New Roman" w:cs="Times New Roman"/>
          <w:sz w:val="28"/>
          <w:szCs w:val="28"/>
        </w:rPr>
        <w:t>consecutive patients</w:t>
      </w:r>
      <w:r w:rsidRPr="008821A6">
        <w:rPr>
          <w:rFonts w:ascii="Times New Roman" w:hAnsi="Times New Roman" w:cs="Times New Roman"/>
          <w:sz w:val="28"/>
          <w:szCs w:val="28"/>
        </w:rPr>
        <w:t xml:space="preserve"> with tearing. The</w:t>
      </w:r>
      <w:r w:rsidR="001247E2">
        <w:rPr>
          <w:rFonts w:ascii="Times New Roman" w:hAnsi="Times New Roman" w:cs="Times New Roman"/>
          <w:sz w:val="28"/>
          <w:szCs w:val="28"/>
        </w:rPr>
        <w:t xml:space="preserve"> case-</w:t>
      </w:r>
      <w:r w:rsidR="009B1E1E">
        <w:rPr>
          <w:rFonts w:ascii="Times New Roman" w:hAnsi="Times New Roman" w:cs="Times New Roman"/>
          <w:sz w:val="28"/>
          <w:szCs w:val="28"/>
        </w:rPr>
        <w:t>control study compared a</w:t>
      </w:r>
      <w:r w:rsidRPr="008821A6">
        <w:rPr>
          <w:rFonts w:ascii="Times New Roman" w:hAnsi="Times New Roman" w:cs="Times New Roman"/>
          <w:sz w:val="28"/>
          <w:szCs w:val="28"/>
        </w:rPr>
        <w:t xml:space="preserve"> group</w:t>
      </w:r>
      <w:r w:rsidR="009B1E1E">
        <w:rPr>
          <w:rFonts w:ascii="Times New Roman" w:hAnsi="Times New Roman" w:cs="Times New Roman"/>
          <w:sz w:val="28"/>
          <w:szCs w:val="28"/>
        </w:rPr>
        <w:t xml:space="preserve"> of 175 patients with tearing who received topical anti-glaucoma medications more than 3 years to a control group </w:t>
      </w:r>
      <w:proofErr w:type="gramStart"/>
      <w:r w:rsidR="009B1E1E">
        <w:rPr>
          <w:rFonts w:ascii="Times New Roman" w:hAnsi="Times New Roman" w:cs="Times New Roman"/>
          <w:sz w:val="28"/>
          <w:szCs w:val="28"/>
        </w:rPr>
        <w:t xml:space="preserve">of </w:t>
      </w:r>
      <w:r w:rsidRPr="008821A6">
        <w:rPr>
          <w:rFonts w:ascii="Times New Roman" w:hAnsi="Times New Roman" w:cs="Times New Roman"/>
          <w:sz w:val="28"/>
          <w:szCs w:val="28"/>
        </w:rPr>
        <w:t xml:space="preserve"> </w:t>
      </w:r>
      <w:r w:rsidR="009B1E1E">
        <w:rPr>
          <w:rFonts w:ascii="Times New Roman" w:hAnsi="Times New Roman" w:cs="Times New Roman"/>
          <w:sz w:val="28"/>
          <w:szCs w:val="28"/>
        </w:rPr>
        <w:t>175</w:t>
      </w:r>
      <w:proofErr w:type="gramEnd"/>
      <w:r w:rsidR="009B1E1E">
        <w:rPr>
          <w:rFonts w:ascii="Times New Roman" w:hAnsi="Times New Roman" w:cs="Times New Roman"/>
          <w:sz w:val="28"/>
          <w:szCs w:val="28"/>
        </w:rPr>
        <w:t xml:space="preserve"> patients with tearing without any ophthalmology diseases.</w:t>
      </w:r>
    </w:p>
    <w:p w14:paraId="548C577A" w14:textId="77777777" w:rsidR="00067D4A" w:rsidRDefault="00067D4A" w:rsidP="008821A6">
      <w:pPr>
        <w:pBdr>
          <w:left w:val="single" w:sz="4" w:space="4" w:color="auto"/>
        </w:pBdr>
        <w:jc w:val="both"/>
        <w:rPr>
          <w:rFonts w:ascii="Times New Roman" w:hAnsi="Times New Roman" w:cs="Times New Roman"/>
          <w:sz w:val="28"/>
          <w:szCs w:val="28"/>
        </w:rPr>
      </w:pPr>
      <w:r>
        <w:rPr>
          <w:rFonts w:ascii="Times New Roman" w:hAnsi="Times New Roman" w:cs="Times New Roman"/>
          <w:sz w:val="28"/>
          <w:szCs w:val="28"/>
        </w:rPr>
        <w:t xml:space="preserve"> </w:t>
      </w:r>
    </w:p>
    <w:p w14:paraId="2704C4F4" w14:textId="77777777" w:rsidR="0040212D" w:rsidRDefault="005A249B" w:rsidP="008821A6">
      <w:pPr>
        <w:pBdr>
          <w:left w:val="single" w:sz="4" w:space="4" w:color="auto"/>
        </w:pBdr>
        <w:jc w:val="both"/>
        <w:rPr>
          <w:rFonts w:ascii="Times New Roman" w:hAnsi="Times New Roman" w:cs="Times New Roman"/>
          <w:sz w:val="28"/>
          <w:szCs w:val="28"/>
        </w:rPr>
      </w:pPr>
      <w:r w:rsidRPr="00997ADC">
        <w:rPr>
          <w:rFonts w:ascii="Times New Roman" w:hAnsi="Times New Roman" w:cs="Times New Roman"/>
          <w:b/>
          <w:sz w:val="28"/>
          <w:szCs w:val="28"/>
        </w:rPr>
        <w:t>Results:</w:t>
      </w:r>
      <w:r>
        <w:rPr>
          <w:rFonts w:ascii="Times New Roman" w:hAnsi="Times New Roman" w:cs="Times New Roman"/>
          <w:sz w:val="28"/>
          <w:szCs w:val="28"/>
        </w:rPr>
        <w:t xml:space="preserve"> </w:t>
      </w:r>
      <w:r w:rsidR="00067D4A">
        <w:rPr>
          <w:rFonts w:ascii="Times New Roman" w:hAnsi="Times New Roman" w:cs="Times New Roman"/>
          <w:sz w:val="28"/>
          <w:szCs w:val="28"/>
        </w:rPr>
        <w:t xml:space="preserve">Nasolacrimal duct stenosis </w:t>
      </w:r>
      <w:r w:rsidR="00EA47BA">
        <w:rPr>
          <w:rFonts w:ascii="Times New Roman" w:hAnsi="Times New Roman" w:cs="Times New Roman"/>
          <w:sz w:val="28"/>
          <w:szCs w:val="28"/>
        </w:rPr>
        <w:t xml:space="preserve">was observed in 39,5% (68 </w:t>
      </w:r>
      <w:proofErr w:type="gramStart"/>
      <w:r w:rsidR="00EA47BA">
        <w:rPr>
          <w:rFonts w:ascii="Times New Roman" w:hAnsi="Times New Roman" w:cs="Times New Roman"/>
          <w:sz w:val="28"/>
          <w:szCs w:val="28"/>
        </w:rPr>
        <w:t>patients)of</w:t>
      </w:r>
      <w:proofErr w:type="gramEnd"/>
      <w:r w:rsidR="00EA47BA">
        <w:rPr>
          <w:rFonts w:ascii="Times New Roman" w:hAnsi="Times New Roman" w:cs="Times New Roman"/>
          <w:sz w:val="28"/>
          <w:szCs w:val="28"/>
        </w:rPr>
        <w:t xml:space="preserve"> the cases, and 66,9% (117 patients) of the control group. Nasolacrimal duct obliteration was found in 24% (42 patients) of case group, and 12% (21 patients) of the control group. There was significantly more </w:t>
      </w:r>
      <w:proofErr w:type="spellStart"/>
      <w:r w:rsidR="00EA47BA">
        <w:rPr>
          <w:rFonts w:ascii="Times New Roman" w:hAnsi="Times New Roman" w:cs="Times New Roman"/>
          <w:sz w:val="28"/>
          <w:szCs w:val="28"/>
        </w:rPr>
        <w:t>dacryo</w:t>
      </w:r>
      <w:r w:rsidR="00997ADC">
        <w:rPr>
          <w:rFonts w:ascii="Times New Roman" w:hAnsi="Times New Roman" w:cs="Times New Roman"/>
          <w:sz w:val="28"/>
          <w:szCs w:val="28"/>
        </w:rPr>
        <w:t>c</w:t>
      </w:r>
      <w:r w:rsidR="00EA47BA">
        <w:rPr>
          <w:rFonts w:ascii="Times New Roman" w:hAnsi="Times New Roman" w:cs="Times New Roman"/>
          <w:sz w:val="28"/>
          <w:szCs w:val="28"/>
        </w:rPr>
        <w:t>ystit</w:t>
      </w:r>
      <w:r w:rsidR="00997ADC">
        <w:rPr>
          <w:rFonts w:ascii="Times New Roman" w:hAnsi="Times New Roman" w:cs="Times New Roman"/>
          <w:sz w:val="28"/>
          <w:szCs w:val="28"/>
        </w:rPr>
        <w:t>i</w:t>
      </w:r>
      <w:r w:rsidR="00EA47BA">
        <w:rPr>
          <w:rFonts w:ascii="Times New Roman" w:hAnsi="Times New Roman" w:cs="Times New Roman"/>
          <w:sz w:val="28"/>
          <w:szCs w:val="28"/>
        </w:rPr>
        <w:t>s</w:t>
      </w:r>
      <w:proofErr w:type="spellEnd"/>
      <w:r w:rsidR="00EA47BA">
        <w:rPr>
          <w:rFonts w:ascii="Times New Roman" w:hAnsi="Times New Roman" w:cs="Times New Roman"/>
          <w:sz w:val="28"/>
          <w:szCs w:val="28"/>
        </w:rPr>
        <w:t xml:space="preserve"> in the case group 29,2% (51 patient) then in the control group (19.4%, 34 patients). Among the patients of case-group </w:t>
      </w:r>
      <w:r w:rsidR="00EC74C1">
        <w:rPr>
          <w:rFonts w:ascii="Times New Roman" w:hAnsi="Times New Roman" w:cs="Times New Roman"/>
          <w:sz w:val="28"/>
          <w:szCs w:val="28"/>
        </w:rPr>
        <w:t xml:space="preserve">7,4% (13 patients)  exhibited </w:t>
      </w:r>
      <w:proofErr w:type="spellStart"/>
      <w:r w:rsidR="00EC74C1">
        <w:rPr>
          <w:rFonts w:ascii="Times New Roman" w:hAnsi="Times New Roman" w:cs="Times New Roman"/>
          <w:sz w:val="28"/>
          <w:szCs w:val="28"/>
        </w:rPr>
        <w:t>canaliculitis</w:t>
      </w:r>
      <w:proofErr w:type="spellEnd"/>
      <w:r w:rsidR="00EC74C1">
        <w:rPr>
          <w:rFonts w:ascii="Times New Roman" w:hAnsi="Times New Roman" w:cs="Times New Roman"/>
          <w:sz w:val="28"/>
          <w:szCs w:val="28"/>
        </w:rPr>
        <w:t>, whereas just 1,7% (3 patients)</w:t>
      </w:r>
      <w:r w:rsidR="00677DAF">
        <w:rPr>
          <w:rFonts w:ascii="Times New Roman" w:hAnsi="Times New Roman" w:cs="Times New Roman"/>
          <w:sz w:val="28"/>
          <w:szCs w:val="28"/>
        </w:rPr>
        <w:t xml:space="preserve"> of the control group </w:t>
      </w:r>
      <w:proofErr w:type="spellStart"/>
      <w:r>
        <w:rPr>
          <w:rFonts w:ascii="Times New Roman" w:hAnsi="Times New Roman" w:cs="Times New Roman"/>
          <w:sz w:val="28"/>
          <w:szCs w:val="28"/>
        </w:rPr>
        <w:t>canaliculitis</w:t>
      </w:r>
      <w:proofErr w:type="spellEnd"/>
      <w:r>
        <w:rPr>
          <w:rFonts w:ascii="Times New Roman" w:hAnsi="Times New Roman" w:cs="Times New Roman"/>
          <w:sz w:val="28"/>
          <w:szCs w:val="28"/>
        </w:rPr>
        <w:t xml:space="preserve"> was found.</w:t>
      </w:r>
      <w:r w:rsidR="00EC74C1">
        <w:rPr>
          <w:rFonts w:ascii="Times New Roman" w:hAnsi="Times New Roman" w:cs="Times New Roman"/>
          <w:sz w:val="28"/>
          <w:szCs w:val="28"/>
        </w:rPr>
        <w:t xml:space="preserve">  </w:t>
      </w:r>
    </w:p>
    <w:p w14:paraId="7D04921D" w14:textId="77777777" w:rsidR="005A249B" w:rsidRDefault="005A249B" w:rsidP="008821A6">
      <w:pPr>
        <w:pBdr>
          <w:left w:val="single" w:sz="4" w:space="4" w:color="auto"/>
        </w:pBdr>
        <w:jc w:val="both"/>
        <w:rPr>
          <w:rFonts w:ascii="Times New Roman" w:hAnsi="Times New Roman" w:cs="Times New Roman"/>
          <w:sz w:val="28"/>
          <w:szCs w:val="28"/>
        </w:rPr>
      </w:pPr>
    </w:p>
    <w:p w14:paraId="33665BB2" w14:textId="77777777" w:rsidR="005A249B" w:rsidRPr="00997ADC" w:rsidRDefault="005A249B" w:rsidP="008821A6">
      <w:pPr>
        <w:pBdr>
          <w:left w:val="single" w:sz="4" w:space="4" w:color="auto"/>
        </w:pBdr>
        <w:jc w:val="both"/>
        <w:rPr>
          <w:rFonts w:ascii="Times New Roman" w:hAnsi="Times New Roman" w:cs="Times New Roman"/>
          <w:sz w:val="28"/>
          <w:szCs w:val="28"/>
        </w:rPr>
      </w:pPr>
      <w:r w:rsidRPr="00997ADC">
        <w:rPr>
          <w:rFonts w:ascii="Times New Roman" w:hAnsi="Times New Roman" w:cs="Times New Roman"/>
          <w:b/>
          <w:sz w:val="28"/>
          <w:szCs w:val="28"/>
        </w:rPr>
        <w:t>Conclusion:</w:t>
      </w:r>
      <w:r>
        <w:rPr>
          <w:rFonts w:ascii="Times New Roman" w:hAnsi="Times New Roman" w:cs="Times New Roman"/>
          <w:sz w:val="28"/>
          <w:szCs w:val="28"/>
        </w:rPr>
        <w:t xml:space="preserve"> According to the results of our study, the prolonged use of anti-glaucoma medications contributes to the earlier development of pathology of the nasolacrimal duct. Considering that these medications are necessary in preventing the occurrence of blindness in glaucoma patients, we believe that it is important to try to reduce the side effect of anti-glaucoma medications in the following ways: </w:t>
      </w:r>
      <w:r w:rsidR="00997ADC">
        <w:rPr>
          <w:rFonts w:ascii="Times New Roman" w:hAnsi="Times New Roman" w:cs="Times New Roman"/>
          <w:sz w:val="28"/>
          <w:szCs w:val="28"/>
        </w:rPr>
        <w:t>pressure on the lacrimal opening within 5 minutes after instillation of drops, prescribe natural tear medications, give preference to the anti-glaucoma medications without preservatives.</w:t>
      </w:r>
    </w:p>
    <w:p w14:paraId="78D88A8F" w14:textId="77777777" w:rsidR="008821A6" w:rsidRPr="000A3994" w:rsidRDefault="008821A6" w:rsidP="001C2551">
      <w:pPr>
        <w:pBdr>
          <w:left w:val="single" w:sz="4" w:space="4" w:color="auto"/>
        </w:pBdr>
      </w:pPr>
    </w:p>
    <w:sectPr w:rsidR="008821A6" w:rsidRPr="000A3994" w:rsidSect="00C64DD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994"/>
    <w:rsid w:val="00067D4A"/>
    <w:rsid w:val="000A3994"/>
    <w:rsid w:val="001247E2"/>
    <w:rsid w:val="001C2551"/>
    <w:rsid w:val="0040212D"/>
    <w:rsid w:val="004A240A"/>
    <w:rsid w:val="00502B67"/>
    <w:rsid w:val="005A249B"/>
    <w:rsid w:val="00677DAF"/>
    <w:rsid w:val="007C511B"/>
    <w:rsid w:val="008821A6"/>
    <w:rsid w:val="00997ADC"/>
    <w:rsid w:val="009B1E1E"/>
    <w:rsid w:val="00C64DD7"/>
    <w:rsid w:val="00D42C48"/>
    <w:rsid w:val="00EA47BA"/>
    <w:rsid w:val="00EC74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A58C81F"/>
  <w15:chartTrackingRefBased/>
  <w15:docId w15:val="{CB54BE8A-248B-7947-923C-7BBD8EBC1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ghlight">
    <w:name w:val="highlight"/>
    <w:basedOn w:val="DefaultParagraphFont"/>
    <w:rsid w:val="004021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7359074">
      <w:bodyDiv w:val="1"/>
      <w:marLeft w:val="0"/>
      <w:marRight w:val="0"/>
      <w:marTop w:val="0"/>
      <w:marBottom w:val="0"/>
      <w:divBdr>
        <w:top w:val="none" w:sz="0" w:space="0" w:color="auto"/>
        <w:left w:val="none" w:sz="0" w:space="0" w:color="auto"/>
        <w:bottom w:val="none" w:sz="0" w:space="0" w:color="auto"/>
        <w:right w:val="none" w:sz="0" w:space="0" w:color="auto"/>
      </w:divBdr>
    </w:div>
    <w:div w:id="429738776">
      <w:bodyDiv w:val="1"/>
      <w:marLeft w:val="0"/>
      <w:marRight w:val="0"/>
      <w:marTop w:val="0"/>
      <w:marBottom w:val="0"/>
      <w:divBdr>
        <w:top w:val="none" w:sz="0" w:space="0" w:color="auto"/>
        <w:left w:val="none" w:sz="0" w:space="0" w:color="auto"/>
        <w:bottom w:val="none" w:sz="0" w:space="0" w:color="auto"/>
        <w:right w:val="none" w:sz="0" w:space="0" w:color="auto"/>
      </w:divBdr>
    </w:div>
    <w:div w:id="1240600491">
      <w:bodyDiv w:val="1"/>
      <w:marLeft w:val="0"/>
      <w:marRight w:val="0"/>
      <w:marTop w:val="0"/>
      <w:marBottom w:val="0"/>
      <w:divBdr>
        <w:top w:val="none" w:sz="0" w:space="0" w:color="auto"/>
        <w:left w:val="none" w:sz="0" w:space="0" w:color="auto"/>
        <w:bottom w:val="none" w:sz="0" w:space="0" w:color="auto"/>
        <w:right w:val="none" w:sz="0" w:space="0" w:color="auto"/>
      </w:divBdr>
    </w:div>
    <w:div w:id="1337729752">
      <w:bodyDiv w:val="1"/>
      <w:marLeft w:val="0"/>
      <w:marRight w:val="0"/>
      <w:marTop w:val="0"/>
      <w:marBottom w:val="0"/>
      <w:divBdr>
        <w:top w:val="none" w:sz="0" w:space="0" w:color="auto"/>
        <w:left w:val="none" w:sz="0" w:space="0" w:color="auto"/>
        <w:bottom w:val="none" w:sz="0" w:space="0" w:color="auto"/>
        <w:right w:val="none" w:sz="0" w:space="0" w:color="auto"/>
      </w:divBdr>
    </w:div>
    <w:div w:id="1579319196">
      <w:bodyDiv w:val="1"/>
      <w:marLeft w:val="0"/>
      <w:marRight w:val="0"/>
      <w:marTop w:val="0"/>
      <w:marBottom w:val="0"/>
      <w:divBdr>
        <w:top w:val="none" w:sz="0" w:space="0" w:color="auto"/>
        <w:left w:val="none" w:sz="0" w:space="0" w:color="auto"/>
        <w:bottom w:val="none" w:sz="0" w:space="0" w:color="auto"/>
        <w:right w:val="none" w:sz="0" w:space="0" w:color="auto"/>
      </w:divBdr>
    </w:div>
    <w:div w:id="1855418564">
      <w:bodyDiv w:val="1"/>
      <w:marLeft w:val="0"/>
      <w:marRight w:val="0"/>
      <w:marTop w:val="0"/>
      <w:marBottom w:val="0"/>
      <w:divBdr>
        <w:top w:val="none" w:sz="0" w:space="0" w:color="auto"/>
        <w:left w:val="none" w:sz="0" w:space="0" w:color="auto"/>
        <w:bottom w:val="none" w:sz="0" w:space="0" w:color="auto"/>
        <w:right w:val="none" w:sz="0" w:space="0" w:color="auto"/>
      </w:divBdr>
    </w:div>
    <w:div w:id="2093969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1</Pages>
  <Words>267</Words>
  <Characters>1522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2020-01-18T19:55:00Z</dcterms:created>
  <dcterms:modified xsi:type="dcterms:W3CDTF">2020-01-18T22:22:00Z</dcterms:modified>
</cp:coreProperties>
</file>