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after="200" w:line="276" w:lineRule="auto"/>
        <w:ind w:left="0" w:right="0" w:firstLine="0"/>
        <w:jc w:val="both"/>
        <w:rPr>
          <w:rFonts w:ascii="Times New Roman" w:cs="Times New Roman" w:hAnsi="Times New Roman" w:eastAsia="Times New Roman"/>
          <w:sz w:val="24"/>
          <w:szCs w:val="24"/>
          <w:u w:color="000000"/>
          <w:rtl w:val="0"/>
          <w:lang w:val="de-DE"/>
        </w:rPr>
      </w:pPr>
      <w:r>
        <w:rPr>
          <w:rFonts w:ascii="Times New Roman" w:cs="Calibri" w:hAnsi="Times New Roman" w:eastAsia="Calibri"/>
          <w:sz w:val="24"/>
          <w:szCs w:val="24"/>
          <w:u w:color="000000"/>
          <w:rtl w:val="0"/>
          <w:lang w:val="de-DE"/>
        </w:rPr>
        <w:t>ABSTRACT</w:t>
      </w:r>
    </w:p>
    <w:p>
      <w:pPr>
        <w:pStyle w:val="Default"/>
        <w:bidi w:val="0"/>
        <w:spacing w:after="200" w:line="276" w:lineRule="auto"/>
        <w:ind w:left="0" w:right="0" w:firstLine="0"/>
        <w:jc w:val="both"/>
        <w:rPr>
          <w:rFonts w:ascii="Times New Roman" w:cs="Times New Roman" w:hAnsi="Times New Roman" w:eastAsia="Times New Roman"/>
          <w:sz w:val="24"/>
          <w:szCs w:val="24"/>
          <w:u w:color="000000"/>
          <w:rtl w:val="0"/>
          <w:lang w:val="en-US"/>
        </w:rPr>
      </w:pPr>
      <w:r>
        <w:rPr>
          <w:rFonts w:ascii="Times New Roman" w:cs="Calibri" w:hAnsi="Times New Roman" w:eastAsia="Calibri"/>
          <w:sz w:val="24"/>
          <w:szCs w:val="24"/>
          <w:u w:color="000000"/>
          <w:rtl w:val="0"/>
          <w:lang w:val="en-US"/>
        </w:rPr>
        <w:t>Purpose-To compare the rates of visual field progression of pseudo exfoliation (PXF) vs primary  open angle glaucoma (POAG).</w:t>
      </w:r>
    </w:p>
    <w:p>
      <w:pPr>
        <w:pStyle w:val="Default"/>
        <w:bidi w:val="0"/>
        <w:spacing w:after="200" w:line="276" w:lineRule="auto"/>
        <w:ind w:left="0" w:right="0" w:firstLine="0"/>
        <w:jc w:val="both"/>
        <w:rPr>
          <w:rFonts w:ascii="Times New Roman" w:cs="Times New Roman" w:hAnsi="Times New Roman" w:eastAsia="Times New Roman"/>
          <w:sz w:val="24"/>
          <w:szCs w:val="24"/>
          <w:u w:color="000000"/>
          <w:rtl w:val="0"/>
          <w:lang w:val="en-US"/>
        </w:rPr>
      </w:pPr>
      <w:r>
        <w:rPr>
          <w:rFonts w:ascii="Times New Roman" w:cs="Calibri" w:hAnsi="Times New Roman" w:eastAsia="Calibri"/>
          <w:sz w:val="24"/>
          <w:szCs w:val="24"/>
          <w:u w:color="000000"/>
          <w:rtl w:val="0"/>
          <w:lang w:val="en-US"/>
        </w:rPr>
        <w:t xml:space="preserve">Methods </w:t>
      </w:r>
      <w:r>
        <w:rPr>
          <w:rFonts w:ascii="Times New Roman" w:cs="Calibri" w:hAnsi="Times New Roman" w:eastAsia="Calibri" w:hint="default"/>
          <w:sz w:val="24"/>
          <w:szCs w:val="24"/>
          <w:u w:color="000000"/>
          <w:rtl w:val="0"/>
          <w:lang w:val="en-US"/>
        </w:rPr>
        <w:t>–</w:t>
      </w:r>
      <w:r>
        <w:rPr>
          <w:rFonts w:ascii="Times New Roman" w:cs="Calibri" w:hAnsi="Times New Roman" w:eastAsia="Calibri"/>
          <w:sz w:val="24"/>
          <w:szCs w:val="24"/>
          <w:u w:color="000000"/>
          <w:rtl w:val="0"/>
          <w:lang w:val="en-US"/>
        </w:rPr>
        <w:t>85 PXF with more than 5 reliable visual fields were compared with 85 POAG patients. Demographics, intraocular pressure (IOP), inter</w:t>
      </w:r>
      <w:r>
        <w:rPr>
          <w:rFonts w:ascii="Times New Roman" w:cs="Calibri" w:hAnsi="Times New Roman" w:eastAsia="Calibri" w:hint="default"/>
          <w:sz w:val="24"/>
          <w:szCs w:val="24"/>
          <w:u w:color="000000"/>
          <w:rtl w:val="0"/>
          <w:lang w:val="en-US"/>
        </w:rPr>
        <w:t>–</w:t>
      </w:r>
      <w:r>
        <w:rPr>
          <w:rFonts w:ascii="Times New Roman" w:cs="Calibri" w:hAnsi="Times New Roman" w:eastAsia="Calibri"/>
          <w:sz w:val="24"/>
          <w:szCs w:val="24"/>
          <w:u w:color="000000"/>
          <w:rtl w:val="0"/>
          <w:lang w:val="en-US"/>
        </w:rPr>
        <w:t>visit IOP fluctuation, mean deviation (MD), pattern standard deviation, visual field index, anti glaucoma medications (AGM) and rates of progression by trend analysis and event based analysis were compared. Progression was defined as a rate of progression &gt;-1dB/year on trend analysis or likely and possible progression on event analysis or both on the guided progression analysis (GPA).</w:t>
      </w:r>
    </w:p>
    <w:p>
      <w:pPr>
        <w:pStyle w:val="Default"/>
        <w:bidi w:val="0"/>
        <w:spacing w:after="200" w:line="276" w:lineRule="auto"/>
        <w:ind w:left="0" w:right="0" w:firstLine="0"/>
        <w:jc w:val="both"/>
        <w:rPr>
          <w:rFonts w:ascii="Times New Roman" w:cs="Times New Roman" w:hAnsi="Times New Roman" w:eastAsia="Times New Roman"/>
          <w:sz w:val="24"/>
          <w:szCs w:val="24"/>
          <w:u w:color="000000"/>
          <w:rtl w:val="0"/>
          <w:lang w:val="en-US"/>
        </w:rPr>
      </w:pPr>
      <w:r>
        <w:rPr>
          <w:rFonts w:ascii="Times New Roman" w:cs="Calibri" w:hAnsi="Times New Roman" w:eastAsia="Calibri"/>
          <w:sz w:val="24"/>
          <w:szCs w:val="24"/>
          <w:u w:color="000000"/>
          <w:rtl w:val="0"/>
          <w:lang w:val="en-US"/>
        </w:rPr>
        <w:t>Results- Mean age (73.4yrs PXF vs. 65.9yrs POAG, p &lt;0.001) was statistically significant. Mean baseline IOP (17.2mmHg PXF vs. 16.7mmHg POAG, p = 0.503) and mean baseline MD (-11.19 PXF vs-10.51 POAG, p = 0.625) were not significantly different between groups. At the final visit mean follow up PXF (8.20 years) and POAG (7.83 years) were similar (p = 0.844), mean IOP and the total number of AGMs being used were not statistically significant.  Mean IOP fluctuation across visits was significantly greater (PXF 3.06 (SD 1.74) vs. POAG 2.41(SD: 1.23),p = 0.005). PXF had a higher change in MD (4.02 PXF vs. 0.72POAG, p=&lt;0.01) and at the final visit PXF had worse MD (-15.21 vs. -11.23, P=0.004). Rate of progression trend (-2.14 %/year PXF vs. -0.08 %/ year POAG, p&lt;0.001) was statistically significant. More PXF eyes showed progression 54 (63.5%) compared to POAG (P&lt;0.005). After adjusting for age, duration and AGM use multivariate analysis showed PXF (OR: 4.734, 95% CI: 2.303-9.729) was a risk factor for progression. The mean IOP fluctuation was 2.41</w:t>
      </w:r>
      <w:r>
        <w:rPr>
          <w:rFonts w:ascii="Times New Roman" w:cs="Calibri" w:hAnsi="Times New Roman" w:eastAsia="Calibri" w:hint="default"/>
          <w:sz w:val="24"/>
          <w:szCs w:val="24"/>
          <w:u w:color="000000"/>
          <w:rtl w:val="0"/>
          <w:lang w:val="en-US"/>
        </w:rPr>
        <w:t>±</w:t>
      </w:r>
      <w:r>
        <w:rPr>
          <w:rFonts w:ascii="Times New Roman" w:cs="Calibri" w:hAnsi="Times New Roman" w:eastAsia="Calibri"/>
          <w:sz w:val="24"/>
          <w:szCs w:val="24"/>
          <w:u w:color="000000"/>
          <w:rtl w:val="0"/>
          <w:lang w:val="en-US"/>
        </w:rPr>
        <w:t>1.74 POAG vs. 3.06</w:t>
      </w:r>
      <w:r>
        <w:rPr>
          <w:rFonts w:ascii="Times New Roman" w:cs="Calibri" w:hAnsi="Times New Roman" w:eastAsia="Calibri" w:hint="default"/>
          <w:sz w:val="24"/>
          <w:szCs w:val="24"/>
          <w:u w:color="000000"/>
          <w:rtl w:val="0"/>
          <w:lang w:val="en-US"/>
        </w:rPr>
        <w:t>±</w:t>
      </w:r>
      <w:r>
        <w:rPr>
          <w:rFonts w:ascii="Times New Roman" w:cs="Calibri" w:hAnsi="Times New Roman" w:eastAsia="Calibri"/>
          <w:sz w:val="24"/>
          <w:szCs w:val="24"/>
          <w:u w:color="000000"/>
          <w:rtl w:val="0"/>
          <w:lang w:val="en-US"/>
        </w:rPr>
        <w:t>1.74 PXF and was significantly different (p=0.005).</w:t>
      </w:r>
    </w:p>
    <w:p>
      <w:pPr>
        <w:pStyle w:val="Default"/>
        <w:bidi w:val="0"/>
        <w:spacing w:after="200" w:line="276" w:lineRule="auto"/>
        <w:ind w:left="0" w:right="0" w:firstLine="0"/>
        <w:jc w:val="both"/>
        <w:rPr>
          <w:rtl w:val="0"/>
        </w:rPr>
      </w:pPr>
      <w:r>
        <w:rPr>
          <w:rFonts w:ascii="Times New Roman" w:cs="Calibri" w:hAnsi="Times New Roman" w:eastAsia="Calibri"/>
          <w:sz w:val="24"/>
          <w:szCs w:val="24"/>
          <w:u w:color="000000"/>
          <w:rtl w:val="0"/>
          <w:lang w:val="en-US"/>
        </w:rPr>
        <w:t>Conclusion- PXF had a higher rate of progression compared to POAG possibly related to greater IOP fluctuation. Hence PXF need closer follow up and more aggressive therapy.</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de-D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