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05D0" w:rsidRDefault="00BA2819">
      <w:pPr>
        <w:pStyle w:val="1"/>
        <w:spacing w:before="170"/>
        <w:ind w:left="0"/>
        <w:rPr>
          <w:color w:val="337AB7"/>
        </w:rPr>
      </w:pPr>
      <w:r>
        <w:rPr>
          <w:color w:val="337AB7"/>
        </w:rPr>
        <w:t xml:space="preserve">The impact of complex-structured optical signals on </w:t>
      </w:r>
      <w:r>
        <w:rPr>
          <w:rFonts w:cs="Calibri"/>
          <w:color w:val="337AB7"/>
        </w:rPr>
        <w:t>color perception and light sensitivity in patients with suspicion of glaucoma and primary open-angle glaucoma</w:t>
      </w:r>
    </w:p>
    <w:p w:rsidR="003905D0" w:rsidRDefault="003905D0">
      <w:pPr>
        <w:pStyle w:val="a3"/>
        <w:spacing w:before="73" w:line="198" w:lineRule="exact"/>
        <w:ind w:left="100" w:right="5987"/>
        <w:rPr>
          <w:rFonts w:ascii="Arial"/>
        </w:rPr>
      </w:pPr>
    </w:p>
    <w:p w:rsidR="003905D0" w:rsidRDefault="00BA2819">
      <w:pPr>
        <w:rPr>
          <w:rFonts w:ascii="Arial" w:hAnsi="Arial" w:cs="Arial"/>
          <w:sz w:val="18"/>
          <w:szCs w:val="18"/>
        </w:rPr>
      </w:pPr>
      <w:proofErr w:type="gramStart"/>
      <w:r>
        <w:rPr>
          <w:rFonts w:ascii="Arial" w:hAnsi="Arial" w:cs="Arial"/>
          <w:sz w:val="18"/>
          <w:szCs w:val="18"/>
          <w:vertAlign w:val="superscript"/>
        </w:rPr>
        <w:t>1</w:t>
      </w:r>
      <w:r>
        <w:rPr>
          <w:rFonts w:ascii="Arial" w:hAnsi="Arial" w:cs="Arial"/>
          <w:sz w:val="18"/>
          <w:szCs w:val="18"/>
        </w:rPr>
        <w:t xml:space="preserve">Marina V. Zueva, </w:t>
      </w:r>
      <w:r>
        <w:rPr>
          <w:rFonts w:ascii="Arial" w:hAnsi="Arial" w:cs="Arial"/>
          <w:sz w:val="18"/>
          <w:szCs w:val="18"/>
          <w:vertAlign w:val="superscript"/>
        </w:rPr>
        <w:t>2</w:t>
      </w:r>
      <w:r>
        <w:rPr>
          <w:rFonts w:ascii="Arial" w:hAnsi="Arial" w:cs="Arial"/>
          <w:sz w:val="18"/>
          <w:szCs w:val="18"/>
        </w:rPr>
        <w:t xml:space="preserve">Maria A. Kovalevskaya, </w:t>
      </w:r>
      <w:r>
        <w:rPr>
          <w:rFonts w:ascii="Arial" w:hAnsi="Arial" w:cs="Arial"/>
          <w:sz w:val="18"/>
          <w:szCs w:val="18"/>
          <w:vertAlign w:val="superscript"/>
        </w:rPr>
        <w:t>2</w:t>
      </w:r>
      <w:r>
        <w:rPr>
          <w:rFonts w:ascii="Arial" w:hAnsi="Arial" w:cs="Arial"/>
          <w:sz w:val="18"/>
          <w:szCs w:val="18"/>
        </w:rPr>
        <w:t xml:space="preserve">Olga V. Donkareva, </w:t>
      </w:r>
      <w:r>
        <w:rPr>
          <w:rFonts w:ascii="Arial" w:hAnsi="Arial" w:cs="Arial"/>
          <w:sz w:val="18"/>
          <w:szCs w:val="18"/>
          <w:vertAlign w:val="superscript"/>
        </w:rPr>
        <w:t>2</w:t>
      </w:r>
      <w:r>
        <w:rPr>
          <w:rFonts w:ascii="Arial" w:hAnsi="Arial" w:cs="Arial"/>
          <w:sz w:val="18"/>
          <w:szCs w:val="18"/>
        </w:rPr>
        <w:t xml:space="preserve">Maria A. Starikova, </w:t>
      </w:r>
      <w:r>
        <w:rPr>
          <w:rFonts w:ascii="Arial" w:hAnsi="Arial" w:cs="Arial"/>
          <w:sz w:val="18"/>
          <w:szCs w:val="18"/>
          <w:vertAlign w:val="superscript"/>
        </w:rPr>
        <w:t>3</w:t>
      </w:r>
      <w:r>
        <w:rPr>
          <w:rFonts w:ascii="Arial" w:hAnsi="Arial" w:cs="Arial"/>
          <w:sz w:val="18"/>
          <w:szCs w:val="18"/>
        </w:rPr>
        <w:t xml:space="preserve">Alexander I. Karankevitch, </w:t>
      </w:r>
      <w:r>
        <w:rPr>
          <w:rFonts w:ascii="Arial" w:hAnsi="Arial" w:cs="Arial"/>
          <w:sz w:val="18"/>
          <w:szCs w:val="18"/>
          <w:vertAlign w:val="superscript"/>
        </w:rPr>
        <w:t>3</w:t>
      </w:r>
      <w:r>
        <w:rPr>
          <w:rFonts w:ascii="Arial" w:hAnsi="Arial" w:cs="Arial"/>
          <w:sz w:val="18"/>
          <w:szCs w:val="18"/>
        </w:rPr>
        <w:t>Alex.</w:t>
      </w:r>
      <w:proofErr w:type="gramEnd"/>
      <w:r>
        <w:rPr>
          <w:rFonts w:ascii="Arial" w:hAnsi="Arial" w:cs="Arial"/>
          <w:sz w:val="18"/>
          <w:szCs w:val="18"/>
        </w:rPr>
        <w:t xml:space="preserve"> A. Taranov, </w:t>
      </w:r>
      <w:r>
        <w:rPr>
          <w:rFonts w:ascii="Arial" w:hAnsi="Arial" w:cs="Arial"/>
          <w:sz w:val="18"/>
          <w:szCs w:val="18"/>
          <w:vertAlign w:val="superscript"/>
        </w:rPr>
        <w:t>2</w:t>
      </w:r>
      <w:r>
        <w:rPr>
          <w:rFonts w:ascii="Arial" w:hAnsi="Arial" w:cs="Arial"/>
          <w:sz w:val="18"/>
          <w:szCs w:val="18"/>
        </w:rPr>
        <w:t xml:space="preserve">Veronica B. </w:t>
      </w:r>
      <w:proofErr w:type="spellStart"/>
      <w:r>
        <w:rPr>
          <w:rFonts w:ascii="Arial" w:hAnsi="Arial" w:cs="Arial"/>
          <w:sz w:val="18"/>
          <w:szCs w:val="18"/>
        </w:rPr>
        <w:t>Antonyan</w:t>
      </w:r>
      <w:proofErr w:type="spellEnd"/>
      <w:r>
        <w:rPr>
          <w:rFonts w:ascii="Arial" w:hAnsi="Arial" w:cs="Arial"/>
          <w:sz w:val="18"/>
          <w:szCs w:val="18"/>
        </w:rPr>
        <w:t xml:space="preserve"> </w:t>
      </w:r>
    </w:p>
    <w:p w:rsidR="003905D0" w:rsidRDefault="00BA2819">
      <w:pPr>
        <w:spacing w:before="120"/>
        <w:rPr>
          <w:rFonts w:ascii="Arial" w:hAnsi="Arial" w:cs="Arial"/>
          <w:sz w:val="18"/>
          <w:szCs w:val="18"/>
        </w:rPr>
      </w:pPr>
      <w:r>
        <w:rPr>
          <w:rFonts w:ascii="Arial" w:hAnsi="Arial" w:cs="Arial"/>
          <w:sz w:val="18"/>
          <w:szCs w:val="18"/>
          <w:vertAlign w:val="superscript"/>
        </w:rPr>
        <w:t>1</w:t>
      </w:r>
      <w:r>
        <w:rPr>
          <w:rFonts w:ascii="Arial" w:hAnsi="Arial" w:cs="Arial"/>
          <w:sz w:val="18"/>
          <w:szCs w:val="18"/>
        </w:rPr>
        <w:t>Moscow Helmholtz Research Institute of Eye Diseases (Moscow, Russia)</w:t>
      </w:r>
    </w:p>
    <w:p w:rsidR="003905D0" w:rsidRDefault="00BA2819">
      <w:pPr>
        <w:rPr>
          <w:rFonts w:ascii="Arial" w:hAnsi="Arial" w:cs="Arial"/>
          <w:sz w:val="18"/>
          <w:szCs w:val="18"/>
        </w:rPr>
      </w:pPr>
      <w:r>
        <w:rPr>
          <w:rFonts w:ascii="Arial" w:hAnsi="Arial" w:cs="Arial"/>
          <w:sz w:val="18"/>
          <w:szCs w:val="18"/>
          <w:vertAlign w:val="superscript"/>
        </w:rPr>
        <w:t>2</w:t>
      </w:r>
      <w:r>
        <w:rPr>
          <w:rFonts w:ascii="Arial" w:hAnsi="Arial" w:cs="Arial"/>
          <w:sz w:val="18"/>
          <w:szCs w:val="18"/>
        </w:rPr>
        <w:t>NN Burdenko Voronezh State Medical University (Voronezh, Russia)</w:t>
      </w:r>
    </w:p>
    <w:p w:rsidR="003905D0" w:rsidRDefault="00BA2819">
      <w:pPr>
        <w:rPr>
          <w:rFonts w:ascii="Arial" w:hAnsi="Arial" w:cs="Arial"/>
          <w:sz w:val="18"/>
          <w:szCs w:val="18"/>
        </w:rPr>
      </w:pPr>
      <w:r>
        <w:rPr>
          <w:rFonts w:ascii="Arial" w:hAnsi="Arial" w:cs="Arial"/>
          <w:sz w:val="18"/>
          <w:szCs w:val="18"/>
          <w:vertAlign w:val="superscript"/>
        </w:rPr>
        <w:t>3</w:t>
      </w:r>
      <w:r>
        <w:rPr>
          <w:rFonts w:ascii="Arial" w:hAnsi="Arial" w:cs="Arial"/>
          <w:sz w:val="18"/>
          <w:szCs w:val="18"/>
        </w:rPr>
        <w:t>Moscow State Technical University (Moscow, Russia)</w:t>
      </w:r>
    </w:p>
    <w:p w:rsidR="003905D0" w:rsidRDefault="008652EE">
      <w:pPr>
        <w:pStyle w:val="a3"/>
        <w:spacing w:before="3"/>
        <w:rPr>
          <w:rFonts w:ascii="Arial"/>
          <w:sz w:val="21"/>
        </w:rPr>
      </w:pPr>
      <w:r>
        <w:rPr>
          <w:rFonts w:ascii="Arial" w:hAnsi="Arial" w:cs="Arial"/>
          <w:noProof/>
          <w:vertAlign w:val="superscript"/>
          <w:lang w:val="ru-RU" w:eastAsia="ru-RU"/>
        </w:rPr>
        <w:drawing>
          <wp:anchor distT="0" distB="0" distL="114300" distR="114300" simplePos="0" relativeHeight="251658240" behindDoc="0" locked="0" layoutInCell="1" allowOverlap="1" wp14:anchorId="4B6923C3" wp14:editId="1B8DC530">
            <wp:simplePos x="0" y="0"/>
            <wp:positionH relativeFrom="column">
              <wp:posOffset>3491865</wp:posOffset>
            </wp:positionH>
            <wp:positionV relativeFrom="paragraph">
              <wp:posOffset>100965</wp:posOffset>
            </wp:positionV>
            <wp:extent cx="1966595" cy="160718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9" cstate="print">
                      <a:grayscl/>
                      <a:lum bright="-8000" contrast="17000"/>
                      <a:extLst>
                        <a:ext uri="{28A0092B-C50C-407E-A947-70E740481C1C}">
                          <a14:useLocalDpi xmlns:a14="http://schemas.microsoft.com/office/drawing/2010/main" val="0"/>
                        </a:ext>
                      </a:extLst>
                    </a:blip>
                    <a:srcRect r="6808" b="45946"/>
                    <a:stretch/>
                  </pic:blipFill>
                  <pic:spPr bwMode="auto">
                    <a:xfrm>
                      <a:off x="0" y="0"/>
                      <a:ext cx="1966595" cy="16071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905D0" w:rsidRDefault="003905D0">
      <w:pPr>
        <w:rPr>
          <w:rFonts w:ascii="Arial"/>
          <w:sz w:val="21"/>
        </w:rPr>
        <w:sectPr w:rsidR="003905D0">
          <w:headerReference w:type="default" r:id="rId10"/>
          <w:footerReference w:type="default" r:id="rId11"/>
          <w:type w:val="continuous"/>
          <w:pgSz w:w="11910" w:h="16840"/>
          <w:pgMar w:top="1740" w:right="600" w:bottom="840" w:left="620" w:header="541" w:footer="642" w:gutter="0"/>
          <w:cols w:space="720"/>
        </w:sectPr>
      </w:pPr>
    </w:p>
    <w:p w:rsidR="003905D0" w:rsidRDefault="00BA2819">
      <w:pPr>
        <w:pStyle w:val="3"/>
        <w:ind w:left="0"/>
        <w:jc w:val="both"/>
        <w:rPr>
          <w:color w:val="BF5A14"/>
        </w:rPr>
      </w:pPr>
      <w:r>
        <w:rPr>
          <w:color w:val="BF5A14"/>
        </w:rPr>
        <w:lastRenderedPageBreak/>
        <w:t xml:space="preserve">Abstract </w:t>
      </w:r>
    </w:p>
    <w:p w:rsidR="003905D0" w:rsidRDefault="00BA2819" w:rsidP="0016162A">
      <w:pPr>
        <w:shd w:val="clear" w:color="auto" w:fill="FFFFFF"/>
        <w:jc w:val="both"/>
        <w:rPr>
          <w:color w:val="222222"/>
          <w:sz w:val="18"/>
          <w:szCs w:val="18"/>
        </w:rPr>
      </w:pPr>
      <w:r>
        <w:rPr>
          <w:b/>
          <w:color w:val="222222"/>
          <w:sz w:val="18"/>
          <w:szCs w:val="18"/>
        </w:rPr>
        <w:t>Purpose:</w:t>
      </w:r>
      <w:r>
        <w:rPr>
          <w:sz w:val="18"/>
          <w:szCs w:val="18"/>
        </w:rPr>
        <w:t xml:space="preserve"> </w:t>
      </w:r>
      <w:r>
        <w:rPr>
          <w:color w:val="222222"/>
          <w:sz w:val="18"/>
          <w:szCs w:val="18"/>
        </w:rPr>
        <w:t>to evaluate the effect of photo-stimulation with complex-structured optical signals of low-intensity on the color perception and light sensitivity in patients with suspicion of glaucoma and primary open-angle glaucoma (POAG), using the data of the Farnsworth-</w:t>
      </w:r>
      <w:proofErr w:type="spellStart"/>
      <w:r>
        <w:rPr>
          <w:color w:val="222222"/>
          <w:sz w:val="18"/>
          <w:szCs w:val="18"/>
        </w:rPr>
        <w:t>Munsell</w:t>
      </w:r>
      <w:proofErr w:type="spellEnd"/>
      <w:r>
        <w:rPr>
          <w:color w:val="222222"/>
          <w:sz w:val="18"/>
          <w:szCs w:val="18"/>
        </w:rPr>
        <w:t xml:space="preserve"> 100 Hue Test and Short Wavelength Automated Perimetry (SITA-SWAP). </w:t>
      </w:r>
    </w:p>
    <w:p w:rsidR="003905D0" w:rsidRDefault="00BA2819">
      <w:pPr>
        <w:shd w:val="clear" w:color="auto" w:fill="FFFFFF"/>
        <w:jc w:val="both"/>
        <w:rPr>
          <w:color w:val="222222"/>
          <w:sz w:val="18"/>
          <w:szCs w:val="18"/>
        </w:rPr>
      </w:pPr>
      <w:r>
        <w:rPr>
          <w:b/>
          <w:sz w:val="18"/>
          <w:szCs w:val="18"/>
        </w:rPr>
        <w:t>Methods:</w:t>
      </w:r>
      <w:r>
        <w:rPr>
          <w:color w:val="222222"/>
          <w:sz w:val="18"/>
          <w:szCs w:val="18"/>
        </w:rPr>
        <w:t xml:space="preserve"> 150 persons (50 per group, 40-75ys) were examined in the groups of suspicion of glaucoma, the 1st stage of POAG, and healthy control. Perimetry with the SITA-Standard and SITA-SWAP programs and the color test were conducted before and after the course of 10 séances of photo-stimulation (10 minutes daily) with the permission of the local Ethical Committee and with the informed consent of patients. LED Stimulator formed complex-structured optical signals (10-12 Lx at the cornea) with a given fractal dimension. </w:t>
      </w:r>
    </w:p>
    <w:p w:rsidR="003905D0" w:rsidRDefault="00BA2819">
      <w:pPr>
        <w:shd w:val="clear" w:color="auto" w:fill="FFFFFF"/>
        <w:jc w:val="both"/>
        <w:rPr>
          <w:color w:val="222222"/>
          <w:sz w:val="18"/>
          <w:szCs w:val="18"/>
        </w:rPr>
      </w:pPr>
      <w:r>
        <w:rPr>
          <w:b/>
          <w:color w:val="222222"/>
          <w:sz w:val="18"/>
          <w:szCs w:val="18"/>
        </w:rPr>
        <w:t>Results:</w:t>
      </w:r>
      <w:r>
        <w:rPr>
          <w:color w:val="222222"/>
          <w:sz w:val="18"/>
          <w:szCs w:val="18"/>
        </w:rPr>
        <w:t xml:space="preserve"> Before the fractal stimulation, the SITA-SWAP testing in the 1</w:t>
      </w:r>
      <w:r>
        <w:rPr>
          <w:color w:val="222222"/>
          <w:sz w:val="18"/>
          <w:szCs w:val="18"/>
          <w:vertAlign w:val="superscript"/>
        </w:rPr>
        <w:t>st</w:t>
      </w:r>
      <w:r>
        <w:rPr>
          <w:color w:val="222222"/>
          <w:sz w:val="18"/>
          <w:szCs w:val="18"/>
        </w:rPr>
        <w:t xml:space="preserve"> group showed: mean deviation (MD) =-2.55±0.7dB, </w:t>
      </w:r>
      <w:r>
        <w:rPr>
          <w:iCs/>
          <w:sz w:val="18"/>
          <w:szCs w:val="18"/>
        </w:rPr>
        <w:t>pattern standard deviation</w:t>
      </w:r>
      <w:r>
        <w:rPr>
          <w:color w:val="222222"/>
          <w:sz w:val="18"/>
          <w:szCs w:val="18"/>
        </w:rPr>
        <w:t xml:space="preserve"> (PSD) =2.46±1.15dB; and after the treatment: MD=-1.55±0.6dB, PSD=2.34±1.3dB. Results in the 2</w:t>
      </w:r>
      <w:r>
        <w:rPr>
          <w:color w:val="222222"/>
          <w:sz w:val="18"/>
          <w:szCs w:val="18"/>
          <w:vertAlign w:val="superscript"/>
        </w:rPr>
        <w:t>nd</w:t>
      </w:r>
      <w:r>
        <w:rPr>
          <w:color w:val="222222"/>
          <w:sz w:val="18"/>
          <w:szCs w:val="18"/>
        </w:rPr>
        <w:t xml:space="preserve"> group, were MD=-5.13±1.3dB, PSD=2.58±0.9dB and, respectively, MD=-4.36±1.2dB, PSD=2.27±0.79dB. The color perception data before and after the treatment were in the 1</w:t>
      </w:r>
      <w:r>
        <w:rPr>
          <w:color w:val="222222"/>
          <w:sz w:val="18"/>
          <w:szCs w:val="18"/>
          <w:vertAlign w:val="superscript"/>
        </w:rPr>
        <w:t>st</w:t>
      </w:r>
      <w:r>
        <w:rPr>
          <w:color w:val="222222"/>
          <w:sz w:val="18"/>
          <w:szCs w:val="18"/>
        </w:rPr>
        <w:t xml:space="preserve"> group: TES=58.6±18.7 (p&lt;0.05) and 46±14.7 (p&lt;0.05); in the second group: TES=86.9±21.8 and 76.9±2.3. </w:t>
      </w:r>
    </w:p>
    <w:p w:rsidR="003905D0" w:rsidRDefault="00BA2819">
      <w:pPr>
        <w:shd w:val="clear" w:color="auto" w:fill="FFFFFF"/>
        <w:jc w:val="both"/>
        <w:rPr>
          <w:color w:val="222222"/>
          <w:sz w:val="18"/>
          <w:szCs w:val="18"/>
        </w:rPr>
      </w:pPr>
      <w:r>
        <w:rPr>
          <w:b/>
          <w:color w:val="222222"/>
          <w:sz w:val="18"/>
          <w:szCs w:val="18"/>
        </w:rPr>
        <w:t>Conclusion:</w:t>
      </w:r>
      <w:r>
        <w:rPr>
          <w:color w:val="222222"/>
          <w:sz w:val="18"/>
          <w:szCs w:val="18"/>
        </w:rPr>
        <w:t xml:space="preserve"> The most significant impact of fractal optical stimulation in the early glaucoma was revealed for the MD data. After the treatment, the average visual field defect significantly decreased (by 0.77-1.0 dB). In the color vision test, after the treatment, a significant reduction in the number of errors (10-12) was found; however, the color perception defects persisted.</w:t>
      </w:r>
    </w:p>
    <w:p w:rsidR="003905D0" w:rsidRDefault="003905D0">
      <w:pPr>
        <w:shd w:val="clear" w:color="auto" w:fill="FFFFFF"/>
        <w:jc w:val="both"/>
        <w:rPr>
          <w:sz w:val="18"/>
          <w:szCs w:val="18"/>
        </w:rPr>
      </w:pPr>
    </w:p>
    <w:p w:rsidR="003905D0" w:rsidRDefault="00BA2819">
      <w:pPr>
        <w:autoSpaceDE w:val="0"/>
        <w:autoSpaceDN w:val="0"/>
        <w:adjustRightInd w:val="0"/>
        <w:rPr>
          <w:sz w:val="18"/>
          <w:szCs w:val="18"/>
          <w:lang w:val="en-NZ"/>
        </w:rPr>
      </w:pPr>
      <w:r>
        <w:rPr>
          <w:rFonts w:ascii="Arial" w:hAnsi="Arial" w:cs="Arial"/>
          <w:b/>
          <w:color w:val="BF5A14"/>
          <w:sz w:val="20"/>
          <w:szCs w:val="20"/>
          <w:lang w:val="en-NZ"/>
        </w:rPr>
        <w:t xml:space="preserve">Presenting author details </w:t>
      </w:r>
      <w:r>
        <w:rPr>
          <w:rFonts w:ascii="Arial" w:hAnsi="Arial" w:cs="Arial"/>
          <w:b/>
          <w:sz w:val="20"/>
          <w:szCs w:val="20"/>
          <w:lang w:val="en-NZ"/>
        </w:rPr>
        <w:br/>
      </w:r>
      <w:r>
        <w:rPr>
          <w:sz w:val="18"/>
          <w:szCs w:val="18"/>
          <w:lang w:val="en-NZ"/>
        </w:rPr>
        <w:t>Full name: Marina V. Zueva</w:t>
      </w:r>
      <w:r>
        <w:rPr>
          <w:sz w:val="18"/>
          <w:szCs w:val="18"/>
          <w:lang w:val="en-NZ"/>
        </w:rPr>
        <w:br/>
        <w:t>Contact number: +7 916-576-23-59</w:t>
      </w:r>
      <w:r>
        <w:rPr>
          <w:sz w:val="18"/>
          <w:szCs w:val="18"/>
          <w:lang w:val="en-NZ"/>
        </w:rPr>
        <w:br/>
        <w:t xml:space="preserve">Session name/ number: Glaucoma: </w:t>
      </w:r>
      <w:r w:rsidR="001D4D2D">
        <w:rPr>
          <w:sz w:val="18"/>
          <w:szCs w:val="18"/>
          <w:lang w:val="en-NZ"/>
        </w:rPr>
        <w:t>Visual</w:t>
      </w:r>
      <w:r>
        <w:rPr>
          <w:sz w:val="18"/>
          <w:szCs w:val="18"/>
          <w:lang w:val="en-NZ"/>
        </w:rPr>
        <w:t xml:space="preserve"> Field Loss</w:t>
      </w:r>
      <w:r>
        <w:rPr>
          <w:sz w:val="18"/>
          <w:szCs w:val="18"/>
          <w:lang w:val="en-NZ"/>
        </w:rPr>
        <w:br/>
        <w:t>Category: Oral presentation</w:t>
      </w:r>
    </w:p>
    <w:p w:rsidR="003905D0" w:rsidRDefault="00BA2819">
      <w:pPr>
        <w:pStyle w:val="3"/>
        <w:spacing w:before="74"/>
        <w:ind w:left="102"/>
        <w:rPr>
          <w:rFonts w:asciiTheme="minorHAnsi" w:hAnsiTheme="minorHAnsi"/>
          <w:b w:val="0"/>
          <w:sz w:val="18"/>
          <w:szCs w:val="18"/>
        </w:rPr>
      </w:pPr>
      <w:r>
        <w:rPr>
          <w:b w:val="0"/>
        </w:rPr>
        <w:br w:type="column"/>
      </w:r>
      <w:proofErr w:type="gramStart"/>
      <w:r>
        <w:rPr>
          <w:color w:val="BF5A14"/>
        </w:rPr>
        <w:lastRenderedPageBreak/>
        <w:t>Fig.</w:t>
      </w:r>
      <w:proofErr w:type="gramEnd"/>
      <w:r w:rsidR="009151F5" w:rsidRPr="009151F5">
        <w:rPr>
          <w:noProof/>
          <w:sz w:val="18"/>
          <w:szCs w:val="18"/>
          <w:vertAlign w:val="superscript"/>
          <w:lang w:eastAsia="ru-RU"/>
        </w:rPr>
        <w:t xml:space="preserve">  </w:t>
      </w:r>
      <w:r>
        <w:rPr>
          <w:color w:val="BF5A14"/>
        </w:rPr>
        <w:t>1.</w:t>
      </w:r>
      <w:r>
        <w:rPr>
          <w:rFonts w:asciiTheme="minorHAnsi" w:hAnsiTheme="minorHAnsi"/>
          <w:b w:val="0"/>
          <w:color w:val="BF5A14"/>
          <w:sz w:val="18"/>
          <w:szCs w:val="18"/>
        </w:rPr>
        <w:t xml:space="preserve"> </w:t>
      </w:r>
      <w:r>
        <w:rPr>
          <w:rFonts w:asciiTheme="minorHAnsi" w:hAnsiTheme="minorHAnsi"/>
          <w:b w:val="0"/>
          <w:sz w:val="18"/>
          <w:szCs w:val="18"/>
        </w:rPr>
        <w:t>An example: SITA-Standard before, 5 and 10 séances of</w:t>
      </w:r>
      <w:r w:rsidR="0016162A" w:rsidRPr="0016162A">
        <w:rPr>
          <w:rFonts w:asciiTheme="minorHAnsi" w:hAnsiTheme="minorHAnsi"/>
          <w:b w:val="0"/>
          <w:sz w:val="18"/>
          <w:szCs w:val="18"/>
        </w:rPr>
        <w:t xml:space="preserve"> </w:t>
      </w:r>
      <w:r w:rsidR="0016162A">
        <w:rPr>
          <w:rFonts w:asciiTheme="minorHAnsi" w:hAnsiTheme="minorHAnsi"/>
          <w:b w:val="0"/>
          <w:sz w:val="18"/>
          <w:szCs w:val="18"/>
        </w:rPr>
        <w:t>fractal</w:t>
      </w:r>
      <w:r>
        <w:rPr>
          <w:rFonts w:asciiTheme="minorHAnsi" w:hAnsiTheme="minorHAnsi"/>
          <w:b w:val="0"/>
          <w:sz w:val="18"/>
          <w:szCs w:val="18"/>
        </w:rPr>
        <w:t xml:space="preserve"> stimulation</w:t>
      </w:r>
    </w:p>
    <w:p w:rsidR="00A57299" w:rsidRDefault="00A57299">
      <w:pPr>
        <w:pStyle w:val="3"/>
        <w:spacing w:before="74"/>
        <w:ind w:left="102"/>
        <w:rPr>
          <w:color w:val="BF5A14"/>
        </w:rPr>
      </w:pPr>
    </w:p>
    <w:p w:rsidR="009151F5" w:rsidRDefault="009151F5">
      <w:pPr>
        <w:pStyle w:val="3"/>
        <w:spacing w:before="74"/>
        <w:ind w:left="102"/>
        <w:rPr>
          <w:color w:val="BF5A14"/>
        </w:rPr>
      </w:pPr>
      <w:bookmarkStart w:id="0" w:name="_GoBack"/>
      <w:bookmarkEnd w:id="0"/>
    </w:p>
    <w:p w:rsidR="009151F5" w:rsidRDefault="009151F5">
      <w:pPr>
        <w:pStyle w:val="3"/>
        <w:spacing w:before="74"/>
        <w:ind w:left="102"/>
        <w:rPr>
          <w:color w:val="BF5A14"/>
        </w:rPr>
      </w:pPr>
    </w:p>
    <w:p w:rsidR="009151F5" w:rsidRDefault="009151F5">
      <w:pPr>
        <w:pStyle w:val="3"/>
        <w:spacing w:before="74"/>
        <w:ind w:left="102"/>
        <w:rPr>
          <w:color w:val="BF5A14"/>
        </w:rPr>
      </w:pPr>
    </w:p>
    <w:p w:rsidR="009151F5" w:rsidRDefault="009151F5">
      <w:pPr>
        <w:pStyle w:val="3"/>
        <w:spacing w:before="74"/>
        <w:ind w:left="102"/>
        <w:rPr>
          <w:color w:val="BF5A14"/>
        </w:rPr>
      </w:pPr>
    </w:p>
    <w:p w:rsidR="003905D0" w:rsidRDefault="00BA2819">
      <w:pPr>
        <w:pStyle w:val="3"/>
        <w:spacing w:before="74"/>
        <w:ind w:left="102"/>
        <w:rPr>
          <w:b w:val="0"/>
        </w:rPr>
      </w:pPr>
      <w:r>
        <w:rPr>
          <w:color w:val="BF5A14"/>
        </w:rPr>
        <w:t xml:space="preserve">Recent Publications </w:t>
      </w:r>
    </w:p>
    <w:p w:rsidR="003905D0" w:rsidRDefault="00BA2819" w:rsidP="00A57299">
      <w:pPr>
        <w:pStyle w:val="a5"/>
        <w:numPr>
          <w:ilvl w:val="0"/>
          <w:numId w:val="3"/>
        </w:numPr>
        <w:tabs>
          <w:tab w:val="left" w:pos="384"/>
        </w:tabs>
        <w:spacing w:before="120" w:line="216" w:lineRule="exact"/>
        <w:ind w:left="380" w:right="136"/>
        <w:rPr>
          <w:sz w:val="18"/>
          <w:szCs w:val="18"/>
        </w:rPr>
      </w:pPr>
      <w:r>
        <w:rPr>
          <w:sz w:val="18"/>
          <w:szCs w:val="18"/>
        </w:rPr>
        <w:t xml:space="preserve">Zueva MV (2015) Fractality of sensations and the brain health: the theory linking neurodegenerative disorder with distortion of spatial and temporal scale-invariance and fractal complexity of the visible world. </w:t>
      </w:r>
      <w:r>
        <w:rPr>
          <w:iCs/>
          <w:sz w:val="18"/>
          <w:szCs w:val="18"/>
        </w:rPr>
        <w:t xml:space="preserve">Front. Aging </w:t>
      </w:r>
      <w:proofErr w:type="spellStart"/>
      <w:r>
        <w:rPr>
          <w:iCs/>
          <w:sz w:val="18"/>
          <w:szCs w:val="18"/>
        </w:rPr>
        <w:t>Neurosci</w:t>
      </w:r>
      <w:proofErr w:type="spellEnd"/>
      <w:r>
        <w:rPr>
          <w:iCs/>
          <w:sz w:val="18"/>
          <w:szCs w:val="18"/>
        </w:rPr>
        <w:t>.</w:t>
      </w:r>
      <w:r>
        <w:rPr>
          <w:sz w:val="18"/>
          <w:szCs w:val="18"/>
        </w:rPr>
        <w:t xml:space="preserve"> 7:135. </w:t>
      </w:r>
    </w:p>
    <w:p w:rsidR="003905D0" w:rsidRDefault="00BA2819">
      <w:pPr>
        <w:pStyle w:val="a5"/>
        <w:numPr>
          <w:ilvl w:val="0"/>
          <w:numId w:val="3"/>
        </w:numPr>
        <w:tabs>
          <w:tab w:val="left" w:pos="384"/>
        </w:tabs>
        <w:spacing w:before="103" w:line="216" w:lineRule="exact"/>
        <w:ind w:right="138"/>
        <w:rPr>
          <w:rFonts w:asciiTheme="minorHAnsi" w:hAnsiTheme="minorHAnsi"/>
          <w:sz w:val="18"/>
          <w:szCs w:val="18"/>
        </w:rPr>
      </w:pPr>
      <w:r>
        <w:rPr>
          <w:rFonts w:asciiTheme="minorHAnsi" w:hAnsiTheme="minorHAnsi"/>
          <w:sz w:val="18"/>
          <w:szCs w:val="18"/>
        </w:rPr>
        <w:t xml:space="preserve">Zueva MV, </w:t>
      </w:r>
      <w:proofErr w:type="spellStart"/>
      <w:r>
        <w:rPr>
          <w:rFonts w:asciiTheme="minorHAnsi" w:hAnsiTheme="minorHAnsi"/>
          <w:sz w:val="18"/>
          <w:szCs w:val="18"/>
        </w:rPr>
        <w:t>Arapiev</w:t>
      </w:r>
      <w:proofErr w:type="spellEnd"/>
      <w:r>
        <w:rPr>
          <w:rFonts w:asciiTheme="minorHAnsi" w:hAnsiTheme="minorHAnsi"/>
          <w:sz w:val="18"/>
          <w:szCs w:val="18"/>
        </w:rPr>
        <w:t xml:space="preserve"> MU, </w:t>
      </w:r>
      <w:proofErr w:type="spellStart"/>
      <w:r>
        <w:rPr>
          <w:rFonts w:asciiTheme="minorHAnsi" w:hAnsiTheme="minorHAnsi"/>
          <w:sz w:val="18"/>
          <w:szCs w:val="18"/>
        </w:rPr>
        <w:t>Tsapenko</w:t>
      </w:r>
      <w:proofErr w:type="spellEnd"/>
      <w:r>
        <w:rPr>
          <w:rFonts w:asciiTheme="minorHAnsi" w:hAnsiTheme="minorHAnsi"/>
          <w:sz w:val="18"/>
          <w:szCs w:val="18"/>
        </w:rPr>
        <w:t xml:space="preserve"> IV, </w:t>
      </w:r>
      <w:proofErr w:type="spellStart"/>
      <w:r>
        <w:rPr>
          <w:rFonts w:asciiTheme="minorHAnsi" w:hAnsiTheme="minorHAnsi"/>
          <w:sz w:val="18"/>
          <w:szCs w:val="18"/>
        </w:rPr>
        <w:t>Lovpache</w:t>
      </w:r>
      <w:proofErr w:type="spellEnd"/>
      <w:r>
        <w:rPr>
          <w:rFonts w:asciiTheme="minorHAnsi" w:hAnsiTheme="minorHAnsi"/>
          <w:sz w:val="18"/>
          <w:szCs w:val="18"/>
        </w:rPr>
        <w:t xml:space="preserve"> DN, </w:t>
      </w:r>
      <w:proofErr w:type="spellStart"/>
      <w:r>
        <w:rPr>
          <w:rFonts w:asciiTheme="minorHAnsi" w:hAnsiTheme="minorHAnsi"/>
          <w:sz w:val="18"/>
          <w:szCs w:val="18"/>
        </w:rPr>
        <w:t>Maghlakelidze</w:t>
      </w:r>
      <w:proofErr w:type="spellEnd"/>
      <w:r>
        <w:rPr>
          <w:rFonts w:asciiTheme="minorHAnsi" w:hAnsiTheme="minorHAnsi"/>
          <w:sz w:val="18"/>
          <w:szCs w:val="18"/>
        </w:rPr>
        <w:t xml:space="preserve"> NM, </w:t>
      </w:r>
      <w:proofErr w:type="spellStart"/>
      <w:r>
        <w:rPr>
          <w:rFonts w:asciiTheme="minorHAnsi" w:hAnsiTheme="minorHAnsi"/>
          <w:sz w:val="18"/>
          <w:szCs w:val="18"/>
        </w:rPr>
        <w:t>Lantukh</w:t>
      </w:r>
      <w:proofErr w:type="spellEnd"/>
      <w:r>
        <w:rPr>
          <w:rFonts w:asciiTheme="minorHAnsi" w:hAnsiTheme="minorHAnsi"/>
          <w:sz w:val="18"/>
          <w:szCs w:val="18"/>
        </w:rPr>
        <w:t xml:space="preserve"> EP (2016) </w:t>
      </w:r>
      <w:proofErr w:type="spellStart"/>
      <w:r>
        <w:rPr>
          <w:rFonts w:asciiTheme="minorHAnsi" w:hAnsiTheme="minorHAnsi"/>
          <w:sz w:val="18"/>
          <w:szCs w:val="18"/>
        </w:rPr>
        <w:t>Morphofunctional</w:t>
      </w:r>
      <w:proofErr w:type="spellEnd"/>
      <w:r>
        <w:rPr>
          <w:rFonts w:asciiTheme="minorHAnsi" w:hAnsiTheme="minorHAnsi"/>
          <w:sz w:val="18"/>
          <w:szCs w:val="18"/>
        </w:rPr>
        <w:t xml:space="preserve"> features of changes in retinal ganglion cells during physiological aging and in the early stage of glaucoma. </w:t>
      </w:r>
      <w:proofErr w:type="spellStart"/>
      <w:proofErr w:type="gramStart"/>
      <w:r>
        <w:rPr>
          <w:rFonts w:asciiTheme="minorHAnsi" w:hAnsiTheme="minorHAnsi"/>
          <w:sz w:val="18"/>
          <w:szCs w:val="18"/>
        </w:rPr>
        <w:t>Vestnik</w:t>
      </w:r>
      <w:proofErr w:type="spellEnd"/>
      <w:r>
        <w:rPr>
          <w:rFonts w:asciiTheme="minorHAnsi" w:hAnsiTheme="minorHAnsi"/>
          <w:sz w:val="18"/>
          <w:szCs w:val="18"/>
        </w:rPr>
        <w:t xml:space="preserve">  </w:t>
      </w:r>
      <w:proofErr w:type="spellStart"/>
      <w:r>
        <w:rPr>
          <w:rFonts w:asciiTheme="minorHAnsi" w:hAnsiTheme="minorHAnsi"/>
          <w:sz w:val="18"/>
          <w:szCs w:val="18"/>
        </w:rPr>
        <w:t>oftal’mologii</w:t>
      </w:r>
      <w:proofErr w:type="spellEnd"/>
      <w:proofErr w:type="gramEnd"/>
      <w:r>
        <w:rPr>
          <w:rFonts w:asciiTheme="minorHAnsi" w:hAnsiTheme="minorHAnsi"/>
          <w:sz w:val="18"/>
          <w:szCs w:val="18"/>
        </w:rPr>
        <w:t xml:space="preserve">. 132 (1): 36-42. </w:t>
      </w:r>
      <w:r>
        <w:rPr>
          <w:rFonts w:asciiTheme="minorHAnsi" w:hAnsiTheme="minorHAnsi"/>
          <w:sz w:val="18"/>
          <w:szCs w:val="18"/>
          <w:shd w:val="clear" w:color="auto" w:fill="FFFFFF"/>
        </w:rPr>
        <w:t>[The Russian Annals of Ophthalmology] </w:t>
      </w:r>
    </w:p>
    <w:p w:rsidR="003905D0" w:rsidRDefault="00BA2819">
      <w:pPr>
        <w:pStyle w:val="a5"/>
        <w:numPr>
          <w:ilvl w:val="0"/>
          <w:numId w:val="3"/>
        </w:numPr>
        <w:tabs>
          <w:tab w:val="left" w:pos="384"/>
        </w:tabs>
        <w:spacing w:before="103" w:line="216" w:lineRule="exact"/>
        <w:ind w:right="138"/>
        <w:rPr>
          <w:rFonts w:asciiTheme="minorHAnsi" w:hAnsiTheme="minorHAnsi"/>
          <w:sz w:val="18"/>
          <w:szCs w:val="18"/>
        </w:rPr>
      </w:pPr>
      <w:r>
        <w:rPr>
          <w:rFonts w:asciiTheme="minorHAnsi" w:hAnsiTheme="minorHAnsi"/>
          <w:sz w:val="18"/>
          <w:szCs w:val="18"/>
        </w:rPr>
        <w:t>Zueva MV (2016) Dynamics of death of retinal ganglion cells in glaucoma and its functional markers. National Journal of Glaucoma. 15 (1): 70-85 [in Russ]</w:t>
      </w:r>
    </w:p>
    <w:p w:rsidR="003905D0" w:rsidRDefault="00BA2819">
      <w:pPr>
        <w:pStyle w:val="a5"/>
        <w:numPr>
          <w:ilvl w:val="0"/>
          <w:numId w:val="3"/>
        </w:numPr>
        <w:tabs>
          <w:tab w:val="left" w:pos="384"/>
        </w:tabs>
        <w:spacing w:before="103" w:line="216" w:lineRule="exact"/>
        <w:ind w:right="138"/>
        <w:rPr>
          <w:rFonts w:asciiTheme="minorHAnsi" w:hAnsiTheme="minorHAnsi"/>
          <w:sz w:val="18"/>
          <w:szCs w:val="18"/>
        </w:rPr>
      </w:pPr>
      <w:r>
        <w:rPr>
          <w:rFonts w:asciiTheme="minorHAnsi" w:hAnsiTheme="minorHAnsi"/>
          <w:sz w:val="18"/>
          <w:szCs w:val="18"/>
        </w:rPr>
        <w:t xml:space="preserve">Zueva MV, Maghlakelidze N. (2017) </w:t>
      </w:r>
      <w:proofErr w:type="gramStart"/>
      <w:r>
        <w:rPr>
          <w:rFonts w:asciiTheme="minorHAnsi" w:hAnsiTheme="minorHAnsi"/>
          <w:sz w:val="18"/>
          <w:szCs w:val="18"/>
        </w:rPr>
        <w:t>The</w:t>
      </w:r>
      <w:proofErr w:type="gramEnd"/>
      <w:r>
        <w:rPr>
          <w:rFonts w:asciiTheme="minorHAnsi" w:hAnsiTheme="minorHAnsi"/>
          <w:sz w:val="18"/>
          <w:szCs w:val="18"/>
        </w:rPr>
        <w:t xml:space="preserve"> prospects of applying of technologies of nonlinear stimulation therapy to treat amblyopia; Glob. J. Intellect. Dev. </w:t>
      </w:r>
      <w:proofErr w:type="spellStart"/>
      <w:r>
        <w:rPr>
          <w:rFonts w:asciiTheme="minorHAnsi" w:hAnsiTheme="minorHAnsi"/>
          <w:sz w:val="18"/>
          <w:szCs w:val="18"/>
        </w:rPr>
        <w:t>Disabil</w:t>
      </w:r>
      <w:proofErr w:type="spellEnd"/>
      <w:r>
        <w:rPr>
          <w:rFonts w:asciiTheme="minorHAnsi" w:hAnsiTheme="minorHAnsi"/>
          <w:sz w:val="18"/>
          <w:szCs w:val="18"/>
        </w:rPr>
        <w:t>. 1(2): 555556.</w:t>
      </w:r>
    </w:p>
    <w:p w:rsidR="003905D0" w:rsidRPr="009151F5" w:rsidRDefault="00BA2819" w:rsidP="009151F5">
      <w:pPr>
        <w:pStyle w:val="a5"/>
        <w:numPr>
          <w:ilvl w:val="0"/>
          <w:numId w:val="3"/>
        </w:numPr>
        <w:tabs>
          <w:tab w:val="left" w:pos="384"/>
        </w:tabs>
        <w:spacing w:before="103" w:line="216" w:lineRule="exact"/>
        <w:ind w:right="138"/>
      </w:pPr>
      <w:r>
        <w:rPr>
          <w:rFonts w:asciiTheme="minorHAnsi" w:hAnsiTheme="minorHAnsi"/>
          <w:sz w:val="18"/>
          <w:szCs w:val="18"/>
        </w:rPr>
        <w:t xml:space="preserve">Zueva MV (2017) </w:t>
      </w:r>
      <w:proofErr w:type="gramStart"/>
      <w:r>
        <w:rPr>
          <w:rFonts w:asciiTheme="minorHAnsi" w:hAnsiTheme="minorHAnsi"/>
          <w:sz w:val="18"/>
          <w:szCs w:val="18"/>
        </w:rPr>
        <w:t>Nonlinear</w:t>
      </w:r>
      <w:proofErr w:type="gramEnd"/>
      <w:r>
        <w:rPr>
          <w:rFonts w:asciiTheme="minorHAnsi" w:hAnsiTheme="minorHAnsi"/>
          <w:sz w:val="18"/>
          <w:szCs w:val="18"/>
        </w:rPr>
        <w:t xml:space="preserve"> stimulation technologies to enhance the efficiency of the therapy of brain disorders and efficacy of cognitive training. Int. J. Adv. Res. 5(8): 250-269. </w:t>
      </w:r>
    </w:p>
    <w:p w:rsidR="009151F5" w:rsidRDefault="009151F5" w:rsidP="009151F5">
      <w:pPr>
        <w:pStyle w:val="a5"/>
        <w:numPr>
          <w:ilvl w:val="0"/>
          <w:numId w:val="3"/>
        </w:numPr>
        <w:tabs>
          <w:tab w:val="left" w:pos="384"/>
        </w:tabs>
        <w:spacing w:before="103" w:line="216" w:lineRule="exact"/>
        <w:ind w:right="138"/>
        <w:sectPr w:rsidR="009151F5">
          <w:type w:val="continuous"/>
          <w:pgSz w:w="11910" w:h="16840"/>
          <w:pgMar w:top="1740" w:right="600" w:bottom="840" w:left="620" w:header="720" w:footer="720" w:gutter="0"/>
          <w:cols w:num="2" w:space="720" w:equalWidth="0">
            <w:col w:w="5214" w:space="138"/>
            <w:col w:w="5338"/>
          </w:cols>
        </w:sectPr>
      </w:pPr>
    </w:p>
    <w:p w:rsidR="003905D0" w:rsidRDefault="003905D0">
      <w:pPr>
        <w:pStyle w:val="a3"/>
        <w:rPr>
          <w:rFonts w:ascii="Calibri"/>
          <w:sz w:val="20"/>
        </w:rPr>
      </w:pPr>
    </w:p>
    <w:p w:rsidR="003905D0" w:rsidRDefault="00BA281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905D0" w:rsidRDefault="00BA2819">
      <w:pPr>
        <w:spacing w:before="92"/>
        <w:ind w:right="4234"/>
        <w:rPr>
          <w:rFonts w:ascii="Arial"/>
          <w:sz w:val="14"/>
        </w:rPr>
      </w:pPr>
      <w:r>
        <w:rPr>
          <w:noProof/>
        </w:rPr>
        <w:t xml:space="preserve">              </w:t>
      </w:r>
      <w:r>
        <w:rPr>
          <w:noProof/>
          <w:lang w:val="ru-RU" w:eastAsia="ru-RU"/>
        </w:rPr>
        <w:drawing>
          <wp:inline distT="0" distB="0" distL="0" distR="0">
            <wp:extent cx="618247" cy="609600"/>
            <wp:effectExtent l="0" t="0" r="0" b="0"/>
            <wp:docPr id="2" name="Рисунок 2" descr="Описание: C:\Users\Marina\Desktop\INVITATIONS FOREIGH ACTIVITY\Marina_Zueva_ 2017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C:\Users\Marina\Desktop\INVITATIONS FOREIGH ACTIVITY\Marina_Zueva_ 2017_.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8247" cy="609600"/>
                    </a:xfrm>
                    <a:prstGeom prst="rect">
                      <a:avLst/>
                    </a:prstGeom>
                    <a:noFill/>
                    <a:ln>
                      <a:noFill/>
                    </a:ln>
                  </pic:spPr>
                </pic:pic>
              </a:graphicData>
            </a:graphic>
          </wp:inline>
        </w:drawing>
      </w:r>
      <w:r>
        <w:rPr>
          <w:noProof/>
        </w:rPr>
        <w:t xml:space="preserve"> </w:t>
      </w:r>
      <w:r>
        <w:rPr>
          <w:rFonts w:ascii="Arial"/>
          <w:color w:val="BF5A14"/>
        </w:rPr>
        <w:t xml:space="preserve">Biography </w:t>
      </w:r>
    </w:p>
    <w:p w:rsidR="003905D0" w:rsidRDefault="00BA2819">
      <w:pPr>
        <w:jc w:val="both"/>
        <w:rPr>
          <w:rStyle w:val="hps"/>
          <w:lang w:val="en"/>
        </w:rPr>
      </w:pPr>
      <w:r>
        <w:rPr>
          <w:rStyle w:val="hps"/>
          <w:lang w:val="en"/>
        </w:rPr>
        <w:t>Marina Zueva, Professor of Pathophysiology, graduated from Lomonosov Moscow State University (Physiology of Higher Nervous Activity), received her Ph.D. and Biol. Sci. D. from Moscow Helmholtz Research Institute of Eye Diseases. Currently, she is the Head of the Department of Clinical Physiology of Vision at Moscow Helmholtz Research Institute of Eye Diseases. She has published over fifteen peer-reviewed papers in English (over 100 in Russian) and presented near 70 topics at international conferences.</w:t>
      </w:r>
      <w:r>
        <w:rPr>
          <w:rStyle w:val="30"/>
          <w:rFonts w:ascii="Times New Roman" w:eastAsia="Batang" w:hAnsi="Times New Roman"/>
          <w:sz w:val="24"/>
          <w:szCs w:val="24"/>
          <w:lang w:val="en"/>
        </w:rPr>
        <w:t xml:space="preserve"> </w:t>
      </w:r>
      <w:r>
        <w:rPr>
          <w:rStyle w:val="hps"/>
          <w:lang w:val="en"/>
        </w:rPr>
        <w:t xml:space="preserve">Research Topics: </w:t>
      </w:r>
      <w:r w:rsidR="0020044F">
        <w:rPr>
          <w:rStyle w:val="hps"/>
          <w:lang w:val="en"/>
        </w:rPr>
        <w:t>c</w:t>
      </w:r>
      <w:r>
        <w:rPr>
          <w:rStyle w:val="hps"/>
          <w:lang w:val="en"/>
        </w:rPr>
        <w:t>linical physiology, electrophysiology of vision</w:t>
      </w:r>
      <w:r w:rsidR="0020044F">
        <w:rPr>
          <w:rStyle w:val="hps"/>
          <w:lang w:val="en"/>
        </w:rPr>
        <w:t>,</w:t>
      </w:r>
      <w:r>
        <w:rPr>
          <w:rStyle w:val="hps"/>
          <w:lang w:val="en"/>
        </w:rPr>
        <w:t xml:space="preserve"> neurocognitive technologies of the improvement of the brain activity.</w:t>
      </w:r>
    </w:p>
    <w:p w:rsidR="003905D0" w:rsidRDefault="00BA2819">
      <w:pPr>
        <w:spacing w:before="62"/>
        <w:ind w:left="4217" w:right="4235"/>
        <w:jc w:val="center"/>
        <w:rPr>
          <w:rFonts w:ascii="Arial"/>
          <w:sz w:val="14"/>
        </w:rPr>
      </w:pPr>
      <w:r>
        <w:rPr>
          <w:rFonts w:ascii="Arial"/>
          <w:sz w:val="14"/>
        </w:rPr>
        <w:t xml:space="preserve">Email: </w:t>
      </w:r>
      <w:hyperlink r:id="rId13" w:history="1">
        <w:r>
          <w:rPr>
            <w:rStyle w:val="ac"/>
            <w:rFonts w:ascii="Arial"/>
            <w:sz w:val="14"/>
          </w:rPr>
          <w:t>visionlab@yandex.ru</w:t>
        </w:r>
      </w:hyperlink>
      <w:r>
        <w:rPr>
          <w:rFonts w:ascii="Arial"/>
          <w:sz w:val="14"/>
        </w:rPr>
        <w:t xml:space="preserve">  </w:t>
      </w:r>
    </w:p>
    <w:p w:rsidR="003905D0" w:rsidRDefault="00BA2819">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3905D0" w:rsidRDefault="003905D0">
      <w:pPr>
        <w:rPr>
          <w:rFonts w:ascii="Minion Pro"/>
          <w:sz w:val="24"/>
        </w:rPr>
        <w:sectPr w:rsidR="003905D0">
          <w:type w:val="continuous"/>
          <w:pgSz w:w="11910" w:h="16840"/>
          <w:pgMar w:top="1740" w:right="600" w:bottom="840" w:left="620" w:header="720" w:footer="720" w:gutter="0"/>
          <w:cols w:space="720"/>
        </w:sectPr>
      </w:pPr>
    </w:p>
    <w:p w:rsidR="003905D0" w:rsidRDefault="003905D0">
      <w:pPr>
        <w:pStyle w:val="a3"/>
        <w:spacing w:before="3"/>
        <w:rPr>
          <w:rFonts w:ascii="Minion Pro"/>
          <w:sz w:val="26"/>
        </w:rPr>
      </w:pPr>
    </w:p>
    <w:sectPr w:rsidR="003905D0">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5677" w:rsidRDefault="00B65677">
      <w:r>
        <w:separator/>
      </w:r>
    </w:p>
  </w:endnote>
  <w:endnote w:type="continuationSeparator" w:id="0">
    <w:p w:rsidR="00B65677" w:rsidRDefault="00B65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5D0" w:rsidRDefault="00BA281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14:anchorId="5BD93B9E" wp14:editId="37D1003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05D0" w:rsidRDefault="00BA2819">
                          <w:pPr>
                            <w:spacing w:line="184" w:lineRule="exact"/>
                            <w:ind w:left="20" w:right="-12"/>
                            <w:rPr>
                              <w:rFonts w:ascii="Arial"/>
                              <w:color w:val="FFFFFF" w:themeColor="background1"/>
                              <w:sz w:val="16"/>
                            </w:rPr>
                          </w:pPr>
                          <w:r>
                            <w:rPr>
                              <w:rFonts w:ascii="Arial"/>
                              <w:color w:val="FFFFFF" w:themeColor="background1"/>
                              <w:sz w:val="16"/>
                            </w:rPr>
                            <w:t>J Pain Relief</w:t>
                          </w:r>
                        </w:p>
                        <w:p w:rsidR="003905D0" w:rsidRDefault="00BA2819">
                          <w:pPr>
                            <w:spacing w:before="8"/>
                            <w:ind w:left="20" w:right="-12"/>
                            <w:rPr>
                              <w:rFonts w:ascii="Arial"/>
                              <w:color w:val="FFFFFF" w:themeColor="background1"/>
                              <w:sz w:val="16"/>
                            </w:rPr>
                          </w:pPr>
                          <w:r>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14:anchorId="6801A2A1" wp14:editId="21C8EF3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05D0" w:rsidRDefault="00BA2819">
                          <w:pPr>
                            <w:spacing w:line="269" w:lineRule="exact"/>
                            <w:jc w:val="center"/>
                            <w:rPr>
                              <w:rFonts w:ascii="Impact"/>
                              <w:color w:val="FFFFFF" w:themeColor="background1"/>
                              <w:sz w:val="24"/>
                            </w:rPr>
                          </w:pPr>
                          <w:r>
                            <w:rPr>
                              <w:rFonts w:ascii="Impact"/>
                              <w:color w:val="FFFFFF" w:themeColor="background1"/>
                              <w:sz w:val="24"/>
                            </w:rPr>
                            <w:t>Fibromyalgia 2016</w:t>
                          </w:r>
                        </w:p>
                        <w:p w:rsidR="003905D0" w:rsidRDefault="00BA2819">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14:anchorId="348E5DC3" wp14:editId="54AFC59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05D0" w:rsidRDefault="00BA2819">
                          <w:pPr>
                            <w:spacing w:line="184" w:lineRule="exact"/>
                            <w:ind w:right="18"/>
                            <w:jc w:val="right"/>
                            <w:rPr>
                              <w:rFonts w:ascii="Arial"/>
                              <w:color w:val="FFFFFF" w:themeColor="background1"/>
                              <w:sz w:val="16"/>
                            </w:rPr>
                          </w:pPr>
                          <w:r>
                            <w:rPr>
                              <w:rFonts w:ascii="Arial"/>
                              <w:color w:val="FFFFFF" w:themeColor="background1"/>
                              <w:sz w:val="16"/>
                            </w:rPr>
                            <w:t>Volume 5, Issue 3)</w:t>
                          </w:r>
                        </w:p>
                        <w:p w:rsidR="003905D0" w:rsidRDefault="00BA2819">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5677" w:rsidRDefault="00B65677">
      <w:r>
        <w:separator/>
      </w:r>
    </w:p>
  </w:footnote>
  <w:footnote w:type="continuationSeparator" w:id="0">
    <w:p w:rsidR="00B65677" w:rsidRDefault="00B656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5D0" w:rsidRDefault="00BA281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14:anchorId="6CC9C368" wp14:editId="135A4F1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05D0" w:rsidRDefault="00BA2819">
                          <w:pPr>
                            <w:spacing w:before="2" w:line="249" w:lineRule="auto"/>
                            <w:ind w:left="156" w:right="18" w:hanging="137"/>
                            <w:rPr>
                              <w:rFonts w:ascii="Arial"/>
                              <w:color w:val="FFFFFF" w:themeColor="background1"/>
                              <w:sz w:val="14"/>
                            </w:rPr>
                          </w:pPr>
                          <w:r>
                            <w:rPr>
                              <w:rFonts w:ascii="Arial"/>
                              <w:color w:val="FFFFFF" w:themeColor="background1"/>
                              <w:sz w:val="14"/>
                            </w:rPr>
                            <w:t xml:space="preserve">) </w:t>
                          </w:r>
                          <w:hyperlink r:id="rId1">
                            <w:r>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14:anchorId="0A98E4D3" wp14:editId="268F205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05D0" w:rsidRDefault="00BA2819">
                          <w:pPr>
                            <w:pStyle w:val="a3"/>
                            <w:spacing w:line="187" w:lineRule="exact"/>
                            <w:ind w:left="20" w:right="-10"/>
                            <w:rPr>
                              <w:rFonts w:ascii="Myriad Pro"/>
                              <w:color w:val="FFFFFF" w:themeColor="background1"/>
                            </w:rPr>
                          </w:pPr>
                          <w:r>
                            <w:rPr>
                              <w:rFonts w:ascii="Myriad Pro"/>
                              <w:color w:val="FFFFFF" w:themeColor="background1"/>
                            </w:rPr>
                            <w:t>International Conference on</w:t>
                          </w:r>
                        </w:p>
                        <w:p w:rsidR="003905D0" w:rsidRDefault="00BA2819">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5D0"/>
    <w:rsid w:val="0016162A"/>
    <w:rsid w:val="001D4D2D"/>
    <w:rsid w:val="0020044F"/>
    <w:rsid w:val="00307A0D"/>
    <w:rsid w:val="003905D0"/>
    <w:rsid w:val="005F2964"/>
    <w:rsid w:val="008652EE"/>
    <w:rsid w:val="009151F5"/>
    <w:rsid w:val="00A57299"/>
    <w:rsid w:val="00B65677"/>
    <w:rsid w:val="00BA2819"/>
    <w:rsid w:val="00D71A6B"/>
    <w:rsid w:val="00E1772C"/>
    <w:rsid w:val="00F465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w Cen MT" w:eastAsia="Tw Cen MT" w:hAnsi="Tw Cen MT" w:cs="Tw Cen MT"/>
    </w:rPr>
  </w:style>
  <w:style w:type="paragraph" w:styleId="1">
    <w:name w:val="heading 1"/>
    <w:basedOn w:val="a"/>
    <w:uiPriority w:val="1"/>
    <w:qFormat/>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pPr>
      <w:ind w:left="100"/>
      <w:outlineLvl w:val="1"/>
    </w:pPr>
    <w:rPr>
      <w:rFonts w:ascii="Minion Pro" w:eastAsia="Minion Pro" w:hAnsi="Minion Pro" w:cs="Minion Pro"/>
      <w:sz w:val="24"/>
      <w:szCs w:val="24"/>
    </w:rPr>
  </w:style>
  <w:style w:type="paragraph" w:styleId="3">
    <w:name w:val="heading 3"/>
    <w:basedOn w:val="a"/>
    <w:link w:val="30"/>
    <w:uiPriority w:val="1"/>
    <w:qFormat/>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Pr>
      <w:sz w:val="18"/>
      <w:szCs w:val="18"/>
    </w:rPr>
  </w:style>
  <w:style w:type="paragraph" w:styleId="a5">
    <w:name w:val="List Paragraph"/>
    <w:basedOn w:val="a"/>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style>
  <w:style w:type="paragraph" w:styleId="a6">
    <w:name w:val="header"/>
    <w:basedOn w:val="a"/>
    <w:link w:val="a7"/>
    <w:uiPriority w:val="99"/>
    <w:unhideWhenUsed/>
    <w:pPr>
      <w:tabs>
        <w:tab w:val="center" w:pos="4513"/>
        <w:tab w:val="right" w:pos="9026"/>
      </w:tabs>
    </w:pPr>
  </w:style>
  <w:style w:type="character" w:customStyle="1" w:styleId="a7">
    <w:name w:val="Верхний колонтитул Знак"/>
    <w:basedOn w:val="a0"/>
    <w:link w:val="a6"/>
    <w:uiPriority w:val="99"/>
    <w:rPr>
      <w:rFonts w:ascii="Tw Cen MT" w:eastAsia="Tw Cen MT" w:hAnsi="Tw Cen MT" w:cs="Tw Cen MT"/>
    </w:rPr>
  </w:style>
  <w:style w:type="paragraph" w:styleId="a8">
    <w:name w:val="footer"/>
    <w:basedOn w:val="a"/>
    <w:link w:val="a9"/>
    <w:uiPriority w:val="99"/>
    <w:unhideWhenUsed/>
    <w:pPr>
      <w:tabs>
        <w:tab w:val="center" w:pos="4513"/>
        <w:tab w:val="right" w:pos="9026"/>
      </w:tabs>
    </w:pPr>
  </w:style>
  <w:style w:type="character" w:customStyle="1" w:styleId="a9">
    <w:name w:val="Нижний колонтитул Знак"/>
    <w:basedOn w:val="a0"/>
    <w:link w:val="a8"/>
    <w:uiPriority w:val="99"/>
    <w:rPr>
      <w:rFonts w:ascii="Tw Cen MT" w:eastAsia="Tw Cen MT" w:hAnsi="Tw Cen MT" w:cs="Tw Cen MT"/>
    </w:rPr>
  </w:style>
  <w:style w:type="paragraph" w:styleId="aa">
    <w:name w:val="Balloon Text"/>
    <w:basedOn w:val="a"/>
    <w:link w:val="ab"/>
    <w:uiPriority w:val="99"/>
    <w:semiHidden/>
    <w:unhideWhenUsed/>
    <w:rPr>
      <w:rFonts w:ascii="Tahoma" w:hAnsi="Tahoma" w:cs="Tahoma"/>
      <w:sz w:val="16"/>
      <w:szCs w:val="16"/>
    </w:rPr>
  </w:style>
  <w:style w:type="character" w:customStyle="1" w:styleId="ab">
    <w:name w:val="Текст выноски Знак"/>
    <w:basedOn w:val="a0"/>
    <w:link w:val="aa"/>
    <w:uiPriority w:val="99"/>
    <w:semiHidden/>
    <w:rPr>
      <w:rFonts w:ascii="Tahoma" w:eastAsia="Tw Cen MT" w:hAnsi="Tahoma" w:cs="Tahoma"/>
      <w:sz w:val="16"/>
      <w:szCs w:val="16"/>
    </w:rPr>
  </w:style>
  <w:style w:type="character" w:styleId="ac">
    <w:name w:val="Hyperlink"/>
    <w:basedOn w:val="a0"/>
    <w:uiPriority w:val="99"/>
    <w:unhideWhenUsed/>
    <w:rPr>
      <w:color w:val="0000FF" w:themeColor="hyperlink"/>
      <w:u w:val="single"/>
    </w:rPr>
  </w:style>
  <w:style w:type="character" w:customStyle="1" w:styleId="a4">
    <w:name w:val="Основной текст Знак"/>
    <w:basedOn w:val="a0"/>
    <w:link w:val="a3"/>
    <w:uiPriority w:val="1"/>
    <w:rPr>
      <w:rFonts w:ascii="Tw Cen MT" w:eastAsia="Tw Cen MT" w:hAnsi="Tw Cen MT" w:cs="Tw Cen MT"/>
      <w:sz w:val="18"/>
      <w:szCs w:val="18"/>
    </w:rPr>
  </w:style>
  <w:style w:type="character" w:styleId="ad">
    <w:name w:val="FollowedHyperlink"/>
    <w:basedOn w:val="a0"/>
    <w:uiPriority w:val="99"/>
    <w:semiHidden/>
    <w:unhideWhenUsed/>
    <w:rPr>
      <w:color w:val="800080" w:themeColor="followedHyperlink"/>
      <w:u w:val="single"/>
    </w:rPr>
  </w:style>
  <w:style w:type="character" w:customStyle="1" w:styleId="30">
    <w:name w:val="Заголовок 3 Знак"/>
    <w:link w:val="3"/>
    <w:uiPriority w:val="1"/>
    <w:rPr>
      <w:rFonts w:ascii="Arial" w:eastAsia="Arial" w:hAnsi="Arial" w:cs="Arial"/>
      <w:b/>
      <w:bCs/>
      <w:sz w:val="20"/>
      <w:szCs w:val="20"/>
    </w:rPr>
  </w:style>
  <w:style w:type="character" w:customStyle="1" w:styleId="hps">
    <w:name w:val="hps"/>
  </w:style>
  <w:style w:type="character" w:customStyle="1" w:styleId="A12">
    <w:name w:val="A12"/>
    <w:rPr>
      <w:rFonts w:ascii="Arial" w:hAnsi="Arial" w:cs="Arial" w:hint="default"/>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w Cen MT" w:eastAsia="Tw Cen MT" w:hAnsi="Tw Cen MT" w:cs="Tw Cen MT"/>
    </w:rPr>
  </w:style>
  <w:style w:type="paragraph" w:styleId="1">
    <w:name w:val="heading 1"/>
    <w:basedOn w:val="a"/>
    <w:uiPriority w:val="1"/>
    <w:qFormat/>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pPr>
      <w:ind w:left="100"/>
      <w:outlineLvl w:val="1"/>
    </w:pPr>
    <w:rPr>
      <w:rFonts w:ascii="Minion Pro" w:eastAsia="Minion Pro" w:hAnsi="Minion Pro" w:cs="Minion Pro"/>
      <w:sz w:val="24"/>
      <w:szCs w:val="24"/>
    </w:rPr>
  </w:style>
  <w:style w:type="paragraph" w:styleId="3">
    <w:name w:val="heading 3"/>
    <w:basedOn w:val="a"/>
    <w:link w:val="30"/>
    <w:uiPriority w:val="1"/>
    <w:qFormat/>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Pr>
      <w:sz w:val="18"/>
      <w:szCs w:val="18"/>
    </w:rPr>
  </w:style>
  <w:style w:type="paragraph" w:styleId="a5">
    <w:name w:val="List Paragraph"/>
    <w:basedOn w:val="a"/>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style>
  <w:style w:type="paragraph" w:styleId="a6">
    <w:name w:val="header"/>
    <w:basedOn w:val="a"/>
    <w:link w:val="a7"/>
    <w:uiPriority w:val="99"/>
    <w:unhideWhenUsed/>
    <w:pPr>
      <w:tabs>
        <w:tab w:val="center" w:pos="4513"/>
        <w:tab w:val="right" w:pos="9026"/>
      </w:tabs>
    </w:pPr>
  </w:style>
  <w:style w:type="character" w:customStyle="1" w:styleId="a7">
    <w:name w:val="Верхний колонтитул Знак"/>
    <w:basedOn w:val="a0"/>
    <w:link w:val="a6"/>
    <w:uiPriority w:val="99"/>
    <w:rPr>
      <w:rFonts w:ascii="Tw Cen MT" w:eastAsia="Tw Cen MT" w:hAnsi="Tw Cen MT" w:cs="Tw Cen MT"/>
    </w:rPr>
  </w:style>
  <w:style w:type="paragraph" w:styleId="a8">
    <w:name w:val="footer"/>
    <w:basedOn w:val="a"/>
    <w:link w:val="a9"/>
    <w:uiPriority w:val="99"/>
    <w:unhideWhenUsed/>
    <w:pPr>
      <w:tabs>
        <w:tab w:val="center" w:pos="4513"/>
        <w:tab w:val="right" w:pos="9026"/>
      </w:tabs>
    </w:pPr>
  </w:style>
  <w:style w:type="character" w:customStyle="1" w:styleId="a9">
    <w:name w:val="Нижний колонтитул Знак"/>
    <w:basedOn w:val="a0"/>
    <w:link w:val="a8"/>
    <w:uiPriority w:val="99"/>
    <w:rPr>
      <w:rFonts w:ascii="Tw Cen MT" w:eastAsia="Tw Cen MT" w:hAnsi="Tw Cen MT" w:cs="Tw Cen MT"/>
    </w:rPr>
  </w:style>
  <w:style w:type="paragraph" w:styleId="aa">
    <w:name w:val="Balloon Text"/>
    <w:basedOn w:val="a"/>
    <w:link w:val="ab"/>
    <w:uiPriority w:val="99"/>
    <w:semiHidden/>
    <w:unhideWhenUsed/>
    <w:rPr>
      <w:rFonts w:ascii="Tahoma" w:hAnsi="Tahoma" w:cs="Tahoma"/>
      <w:sz w:val="16"/>
      <w:szCs w:val="16"/>
    </w:rPr>
  </w:style>
  <w:style w:type="character" w:customStyle="1" w:styleId="ab">
    <w:name w:val="Текст выноски Знак"/>
    <w:basedOn w:val="a0"/>
    <w:link w:val="aa"/>
    <w:uiPriority w:val="99"/>
    <w:semiHidden/>
    <w:rPr>
      <w:rFonts w:ascii="Tahoma" w:eastAsia="Tw Cen MT" w:hAnsi="Tahoma" w:cs="Tahoma"/>
      <w:sz w:val="16"/>
      <w:szCs w:val="16"/>
    </w:rPr>
  </w:style>
  <w:style w:type="character" w:styleId="ac">
    <w:name w:val="Hyperlink"/>
    <w:basedOn w:val="a0"/>
    <w:uiPriority w:val="99"/>
    <w:unhideWhenUsed/>
    <w:rPr>
      <w:color w:val="0000FF" w:themeColor="hyperlink"/>
      <w:u w:val="single"/>
    </w:rPr>
  </w:style>
  <w:style w:type="character" w:customStyle="1" w:styleId="a4">
    <w:name w:val="Основной текст Знак"/>
    <w:basedOn w:val="a0"/>
    <w:link w:val="a3"/>
    <w:uiPriority w:val="1"/>
    <w:rPr>
      <w:rFonts w:ascii="Tw Cen MT" w:eastAsia="Tw Cen MT" w:hAnsi="Tw Cen MT" w:cs="Tw Cen MT"/>
      <w:sz w:val="18"/>
      <w:szCs w:val="18"/>
    </w:rPr>
  </w:style>
  <w:style w:type="character" w:styleId="ad">
    <w:name w:val="FollowedHyperlink"/>
    <w:basedOn w:val="a0"/>
    <w:uiPriority w:val="99"/>
    <w:semiHidden/>
    <w:unhideWhenUsed/>
    <w:rPr>
      <w:color w:val="800080" w:themeColor="followedHyperlink"/>
      <w:u w:val="single"/>
    </w:rPr>
  </w:style>
  <w:style w:type="character" w:customStyle="1" w:styleId="30">
    <w:name w:val="Заголовок 3 Знак"/>
    <w:link w:val="3"/>
    <w:uiPriority w:val="1"/>
    <w:rPr>
      <w:rFonts w:ascii="Arial" w:eastAsia="Arial" w:hAnsi="Arial" w:cs="Arial"/>
      <w:b/>
      <w:bCs/>
      <w:sz w:val="20"/>
      <w:szCs w:val="20"/>
    </w:rPr>
  </w:style>
  <w:style w:type="character" w:customStyle="1" w:styleId="hps">
    <w:name w:val="hps"/>
  </w:style>
  <w:style w:type="character" w:customStyle="1" w:styleId="A12">
    <w:name w:val="A12"/>
    <w:rPr>
      <w:rFonts w:ascii="Arial" w:hAnsi="Arial" w:cs="Arial" w:hint="default"/>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visionlab@yandex.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A34BE-08C3-4D54-A0D8-6EBBD9FE8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649</Words>
  <Characters>3702</Characters>
  <Application>Microsoft Office Word</Application>
  <DocSecurity>0</DocSecurity>
  <Lines>30</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zueva_mv</cp:lastModifiedBy>
  <cp:revision>10</cp:revision>
  <dcterms:created xsi:type="dcterms:W3CDTF">2018-01-16T15:45:00Z</dcterms:created>
  <dcterms:modified xsi:type="dcterms:W3CDTF">2018-01-18T09:20:00Z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