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43222" w14:textId="7BA02E80" w:rsidR="004D625A" w:rsidRPr="004D625A" w:rsidRDefault="004D625A" w:rsidP="004D625A">
      <w:pPr>
        <w:pStyle w:val="para"/>
        <w:tabs>
          <w:tab w:val="left" w:pos="2180"/>
        </w:tabs>
        <w:spacing w:before="240" w:after="288" w:line="480" w:lineRule="auto"/>
        <w:jc w:val="center"/>
        <w:rPr>
          <w:rFonts w:asciiTheme="minorBidi" w:eastAsia="Calibri Light" w:hAnsiTheme="minorBidi" w:cstheme="minorBidi"/>
          <w:b/>
          <w:bCs/>
          <w:sz w:val="28"/>
          <w:szCs w:val="28"/>
        </w:rPr>
      </w:pPr>
      <w:r w:rsidRPr="004D625A">
        <w:rPr>
          <w:rFonts w:asciiTheme="minorBidi" w:eastAsia="Calibri Light" w:hAnsiTheme="minorBidi" w:cstheme="minorBidi"/>
          <w:b/>
          <w:bCs/>
          <w:sz w:val="28"/>
          <w:szCs w:val="28"/>
        </w:rPr>
        <w:t xml:space="preserve">Topographic Outcomes </w:t>
      </w:r>
      <w:proofErr w:type="gramStart"/>
      <w:r w:rsidRPr="004D625A">
        <w:rPr>
          <w:rFonts w:asciiTheme="minorBidi" w:eastAsia="Calibri Light" w:hAnsiTheme="minorBidi" w:cstheme="minorBidi"/>
          <w:b/>
          <w:bCs/>
          <w:sz w:val="28"/>
          <w:szCs w:val="28"/>
        </w:rPr>
        <w:t>Of</w:t>
      </w:r>
      <w:proofErr w:type="gramEnd"/>
      <w:r w:rsidRPr="004D625A">
        <w:rPr>
          <w:rFonts w:asciiTheme="minorBidi" w:eastAsia="Calibri Light" w:hAnsiTheme="minorBidi" w:cstheme="minorBidi"/>
          <w:b/>
          <w:bCs/>
          <w:sz w:val="28"/>
          <w:szCs w:val="28"/>
        </w:rPr>
        <w:t xml:space="preserve"> Corneal Collagen Cross-Linking (CXL) In Progressive Keratoconus in Saudi Patients</w:t>
      </w:r>
    </w:p>
    <w:p w14:paraId="71076080" w14:textId="7497B8F9" w:rsidR="004D625A" w:rsidRPr="004D625A" w:rsidRDefault="004D625A" w:rsidP="004D625A">
      <w:pPr>
        <w:pStyle w:val="Body"/>
        <w:spacing w:line="480" w:lineRule="auto"/>
        <w:ind w:firstLine="360"/>
        <w:jc w:val="center"/>
        <w:rPr>
          <w:rFonts w:asciiTheme="minorBidi" w:eastAsia="Calibri Light" w:hAnsiTheme="minorBidi" w:cstheme="minorBidi"/>
          <w:sz w:val="28"/>
          <w:szCs w:val="28"/>
          <w:lang w:val="en-US"/>
        </w:rPr>
      </w:pPr>
      <w:r w:rsidRPr="004D625A">
        <w:rPr>
          <w:rFonts w:asciiTheme="minorBidi" w:eastAsia="Calibri Light" w:hAnsiTheme="minorBidi" w:cstheme="minorBidi"/>
          <w:sz w:val="28"/>
          <w:szCs w:val="28"/>
          <w:lang w:val="en-US"/>
        </w:rPr>
        <w:t xml:space="preserve">Maram E </w:t>
      </w:r>
      <w:proofErr w:type="gramStart"/>
      <w:r w:rsidRPr="004D625A">
        <w:rPr>
          <w:rFonts w:asciiTheme="minorBidi" w:eastAsia="Calibri Light" w:hAnsiTheme="minorBidi" w:cstheme="minorBidi"/>
          <w:sz w:val="28"/>
          <w:szCs w:val="28"/>
          <w:lang w:val="en-US"/>
        </w:rPr>
        <w:t>A</w:t>
      </w:r>
      <w:proofErr w:type="gramEnd"/>
      <w:r w:rsidRPr="004D625A">
        <w:rPr>
          <w:rFonts w:asciiTheme="minorBidi" w:eastAsia="Calibri Light" w:hAnsiTheme="minorBidi" w:cstheme="minorBidi"/>
          <w:sz w:val="28"/>
          <w:szCs w:val="28"/>
          <w:lang w:val="en-US"/>
        </w:rPr>
        <w:t xml:space="preserve"> Abdalla </w:t>
      </w:r>
      <w:proofErr w:type="spellStart"/>
      <w:r w:rsidRPr="004D625A">
        <w:rPr>
          <w:rFonts w:asciiTheme="minorBidi" w:eastAsia="Calibri Light" w:hAnsiTheme="minorBidi" w:cstheme="minorBidi"/>
          <w:sz w:val="28"/>
          <w:szCs w:val="28"/>
          <w:lang w:val="en-US"/>
        </w:rPr>
        <w:t>Elsayed</w:t>
      </w:r>
      <w:proofErr w:type="spellEnd"/>
      <w:r w:rsidRPr="004D625A">
        <w:rPr>
          <w:rFonts w:asciiTheme="minorBidi" w:eastAsia="Calibri Light" w:hAnsiTheme="minorBidi" w:cstheme="minorBidi"/>
          <w:sz w:val="28"/>
          <w:szCs w:val="28"/>
          <w:lang w:val="en-US"/>
        </w:rPr>
        <w:t xml:space="preserve">, </w:t>
      </w:r>
      <w:proofErr w:type="spellStart"/>
      <w:r w:rsidRPr="004D625A">
        <w:rPr>
          <w:rFonts w:asciiTheme="minorBidi" w:eastAsia="Calibri Light" w:hAnsiTheme="minorBidi" w:cstheme="minorBidi"/>
          <w:sz w:val="28"/>
          <w:szCs w:val="28"/>
          <w:lang w:val="en-US"/>
        </w:rPr>
        <w:t>Badr</w:t>
      </w:r>
      <w:proofErr w:type="spellEnd"/>
      <w:r w:rsidRPr="004D625A">
        <w:rPr>
          <w:rFonts w:asciiTheme="minorBidi" w:eastAsia="Calibri Light" w:hAnsiTheme="minorBidi" w:cstheme="minorBidi"/>
          <w:sz w:val="28"/>
          <w:szCs w:val="28"/>
          <w:lang w:val="en-US"/>
        </w:rPr>
        <w:t xml:space="preserve"> </w:t>
      </w:r>
      <w:proofErr w:type="spellStart"/>
      <w:r w:rsidRPr="004D625A">
        <w:rPr>
          <w:rFonts w:asciiTheme="minorBidi" w:eastAsia="Calibri Light" w:hAnsiTheme="minorBidi" w:cstheme="minorBidi"/>
          <w:sz w:val="28"/>
          <w:szCs w:val="28"/>
          <w:lang w:val="en-US"/>
        </w:rPr>
        <w:t>Alqahtani</w:t>
      </w:r>
      <w:proofErr w:type="spellEnd"/>
      <w:r w:rsidRPr="004D625A">
        <w:rPr>
          <w:rFonts w:asciiTheme="minorBidi" w:eastAsia="Calibri Light" w:hAnsiTheme="minorBidi" w:cstheme="minorBidi"/>
          <w:sz w:val="28"/>
          <w:szCs w:val="28"/>
          <w:lang w:val="en-US"/>
        </w:rPr>
        <w:t xml:space="preserve">, Waleed </w:t>
      </w:r>
      <w:proofErr w:type="spellStart"/>
      <w:r w:rsidRPr="004D625A">
        <w:rPr>
          <w:rFonts w:asciiTheme="minorBidi" w:eastAsia="Calibri Light" w:hAnsiTheme="minorBidi" w:cstheme="minorBidi"/>
          <w:sz w:val="28"/>
          <w:szCs w:val="28"/>
          <w:lang w:val="en-US"/>
        </w:rPr>
        <w:t>Khayyat</w:t>
      </w:r>
      <w:proofErr w:type="spellEnd"/>
      <w:r w:rsidRPr="004D625A">
        <w:rPr>
          <w:rFonts w:asciiTheme="minorBidi" w:eastAsia="Calibri Light" w:hAnsiTheme="minorBidi" w:cstheme="minorBidi"/>
          <w:sz w:val="28"/>
          <w:szCs w:val="28"/>
          <w:lang w:val="en-US"/>
        </w:rPr>
        <w:t xml:space="preserve">. Amjad </w:t>
      </w:r>
      <w:proofErr w:type="spellStart"/>
      <w:r w:rsidRPr="004D625A">
        <w:rPr>
          <w:rFonts w:asciiTheme="minorBidi" w:eastAsia="Calibri Light" w:hAnsiTheme="minorBidi" w:cstheme="minorBidi"/>
          <w:sz w:val="28"/>
          <w:szCs w:val="28"/>
          <w:lang w:val="en-US"/>
        </w:rPr>
        <w:t>Saifuldeen</w:t>
      </w:r>
      <w:proofErr w:type="spellEnd"/>
      <w:r w:rsidRPr="004D625A">
        <w:rPr>
          <w:rFonts w:asciiTheme="minorBidi" w:eastAsia="Calibri Light" w:hAnsiTheme="minorBidi" w:cstheme="minorBidi"/>
          <w:sz w:val="28"/>
          <w:szCs w:val="28"/>
          <w:lang w:val="en-US"/>
        </w:rPr>
        <w:t xml:space="preserve">, Abdullah </w:t>
      </w:r>
      <w:proofErr w:type="spellStart"/>
      <w:r w:rsidRPr="004D625A">
        <w:rPr>
          <w:rFonts w:asciiTheme="minorBidi" w:eastAsia="Calibri Light" w:hAnsiTheme="minorBidi" w:cstheme="minorBidi"/>
          <w:sz w:val="28"/>
          <w:szCs w:val="28"/>
          <w:lang w:val="en-US"/>
        </w:rPr>
        <w:t>Altalhi</w:t>
      </w:r>
      <w:proofErr w:type="spellEnd"/>
    </w:p>
    <w:p w14:paraId="46CA4D17" w14:textId="7346751A" w:rsidR="006C418A" w:rsidRPr="004D3D4E" w:rsidRDefault="006C418A" w:rsidP="006C418A">
      <w:pPr>
        <w:pStyle w:val="Body"/>
        <w:spacing w:line="480" w:lineRule="auto"/>
        <w:ind w:firstLine="360"/>
        <w:jc w:val="both"/>
        <w:rPr>
          <w:rFonts w:asciiTheme="minorBidi" w:eastAsia="Calibri Light" w:hAnsiTheme="minorBidi" w:cstheme="minorBidi"/>
          <w:sz w:val="22"/>
          <w:szCs w:val="22"/>
        </w:rPr>
      </w:pPr>
      <w:bookmarkStart w:id="0" w:name="_GoBack"/>
      <w:bookmarkEnd w:id="0"/>
      <w:r w:rsidRPr="004D3D4E">
        <w:rPr>
          <w:rFonts w:asciiTheme="minorBidi" w:eastAsia="Calibri Light" w:hAnsiTheme="minorBidi" w:cstheme="minorBidi"/>
          <w:b/>
          <w:bCs/>
          <w:sz w:val="22"/>
          <w:szCs w:val="22"/>
        </w:rPr>
        <w:t>Purpose:</w:t>
      </w:r>
      <w:r w:rsidRPr="004D3D4E">
        <w:rPr>
          <w:rFonts w:asciiTheme="minorBidi" w:eastAsia="Calibri Light" w:hAnsiTheme="minorBidi" w:cstheme="minorBidi"/>
          <w:sz w:val="22"/>
          <w:szCs w:val="22"/>
        </w:rPr>
        <w:t xml:space="preserve"> </w:t>
      </w:r>
      <w:r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>This</w:t>
      </w:r>
      <w:r w:rsidRPr="004D3D4E">
        <w:rPr>
          <w:rFonts w:asciiTheme="minorBidi" w:eastAsia="Calibri Light" w:hAnsiTheme="minorBidi" w:cstheme="minorBidi"/>
          <w:sz w:val="22"/>
          <w:szCs w:val="22"/>
          <w:shd w:val="clear" w:color="auto" w:fill="FFFFFF"/>
        </w:rPr>
        <w:t xml:space="preserve"> study </w:t>
      </w:r>
      <w:r w:rsidRPr="004D3D4E">
        <w:rPr>
          <w:rFonts w:asciiTheme="minorBidi" w:eastAsia="Calibri Light" w:hAnsiTheme="minorBidi" w:cstheme="minorBidi"/>
          <w:sz w:val="22"/>
          <w:szCs w:val="22"/>
          <w:shd w:val="clear" w:color="auto" w:fill="FFFFFF"/>
          <w:lang w:val="en-US"/>
        </w:rPr>
        <w:t>aimed to assess</w:t>
      </w:r>
      <w:r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 xml:space="preserve"> the overall and specific topographic changes among patients who underwent corneal collagen cross linking (</w:t>
      </w:r>
      <w:r w:rsidRPr="004D3D4E">
        <w:rPr>
          <w:rFonts w:asciiTheme="minorBidi" w:eastAsia="Calibri Light" w:hAnsiTheme="minorBidi" w:cstheme="minorBidi"/>
          <w:sz w:val="22"/>
          <w:szCs w:val="22"/>
        </w:rPr>
        <w:t>CXL</w:t>
      </w:r>
      <w:r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>)</w:t>
      </w:r>
      <w:r w:rsidRPr="004D3D4E">
        <w:rPr>
          <w:rFonts w:asciiTheme="minorBidi" w:eastAsia="Calibri Light" w:hAnsiTheme="minorBidi" w:cstheme="minorBidi"/>
          <w:sz w:val="22"/>
          <w:szCs w:val="22"/>
        </w:rPr>
        <w:t xml:space="preserve"> at King Abdulaziz Medical City in Riyadh</w:t>
      </w:r>
      <w:r w:rsidRPr="004D3D4E">
        <w:rPr>
          <w:rFonts w:asciiTheme="minorBidi" w:eastAsia="Calibri Light" w:hAnsiTheme="minorBidi" w:cstheme="minorBidi"/>
          <w:sz w:val="22"/>
          <w:szCs w:val="22"/>
        </w:rPr>
        <w:t>, Saudi Arabia</w:t>
      </w:r>
      <w:r w:rsidRPr="004D3D4E">
        <w:rPr>
          <w:rFonts w:asciiTheme="minorBidi" w:eastAsia="Calibri Light" w:hAnsiTheme="minorBidi" w:cstheme="minorBidi"/>
          <w:sz w:val="22"/>
          <w:szCs w:val="22"/>
        </w:rPr>
        <w:t xml:space="preserve">. </w:t>
      </w:r>
    </w:p>
    <w:p w14:paraId="59FC4126" w14:textId="77777777" w:rsidR="006C418A" w:rsidRPr="004D3D4E" w:rsidRDefault="006C418A" w:rsidP="006C418A">
      <w:pPr>
        <w:pStyle w:val="Body"/>
        <w:spacing w:line="480" w:lineRule="auto"/>
        <w:ind w:firstLine="360"/>
        <w:jc w:val="both"/>
        <w:rPr>
          <w:rFonts w:asciiTheme="minorBidi" w:eastAsia="Calibri Light" w:hAnsiTheme="minorBidi" w:cstheme="minorBidi"/>
          <w:sz w:val="22"/>
          <w:szCs w:val="22"/>
        </w:rPr>
      </w:pPr>
    </w:p>
    <w:p w14:paraId="3D5C3ED3" w14:textId="0F12405B" w:rsidR="006C418A" w:rsidRPr="004D3D4E" w:rsidRDefault="006C418A" w:rsidP="006C418A">
      <w:pPr>
        <w:pStyle w:val="Body"/>
        <w:spacing w:line="480" w:lineRule="auto"/>
        <w:ind w:firstLine="360"/>
        <w:jc w:val="both"/>
        <w:rPr>
          <w:rFonts w:asciiTheme="minorBidi" w:eastAsia="Calibri Light" w:hAnsiTheme="minorBidi" w:cstheme="minorBidi"/>
          <w:sz w:val="22"/>
          <w:szCs w:val="22"/>
        </w:rPr>
      </w:pPr>
      <w:r w:rsidRPr="004D3D4E">
        <w:rPr>
          <w:rFonts w:asciiTheme="minorBidi" w:eastAsia="Calibri Light" w:hAnsiTheme="minorBidi" w:cstheme="minorBidi"/>
          <w:b/>
          <w:bCs/>
          <w:sz w:val="22"/>
          <w:szCs w:val="22"/>
          <w:lang w:val="en-US"/>
        </w:rPr>
        <w:t>Methods:</w:t>
      </w:r>
      <w:r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 xml:space="preserve"> This was a retrospective single-arm hospital-based case series</w:t>
      </w:r>
      <w:r w:rsidRPr="004D3D4E">
        <w:rPr>
          <w:rFonts w:asciiTheme="minorBidi" w:eastAsia="Calibri Light" w:hAnsiTheme="minorBidi" w:cstheme="minorBidi"/>
          <w:sz w:val="22"/>
          <w:szCs w:val="22"/>
        </w:rPr>
        <w:t xml:space="preserve"> study. </w:t>
      </w:r>
      <w:r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>All progressive keratoconus patients who underwent CXL between Jan 2017 and Dec 2018 were included consecutively</w:t>
      </w:r>
      <w:r w:rsidRPr="004D3D4E">
        <w:rPr>
          <w:rFonts w:asciiTheme="minorBidi" w:eastAsia="Calibri Light" w:hAnsiTheme="minorBidi" w:cstheme="minorBidi"/>
          <w:sz w:val="22"/>
          <w:szCs w:val="22"/>
        </w:rPr>
        <w:t xml:space="preserve">. </w:t>
      </w:r>
      <w:r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>Topographical values were measured preoperatively and 12 months postoperatively. Patients with</w:t>
      </w:r>
      <w:r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 xml:space="preserve"> a</w:t>
      </w:r>
      <w:r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 xml:space="preserve"> history of previous corneal procedure, corneal trauma or any corneal scaring were excluded.</w:t>
      </w:r>
    </w:p>
    <w:p w14:paraId="16E2ED56" w14:textId="77777777" w:rsidR="006C418A" w:rsidRPr="004D3D4E" w:rsidRDefault="006C418A" w:rsidP="006C418A">
      <w:pPr>
        <w:pStyle w:val="Body"/>
        <w:spacing w:line="480" w:lineRule="auto"/>
        <w:ind w:firstLine="360"/>
        <w:jc w:val="both"/>
        <w:rPr>
          <w:rFonts w:asciiTheme="minorBidi" w:eastAsia="Calibri Light" w:hAnsiTheme="minorBidi" w:cstheme="minorBidi"/>
          <w:sz w:val="22"/>
          <w:szCs w:val="22"/>
        </w:rPr>
      </w:pPr>
    </w:p>
    <w:p w14:paraId="62B3EC19" w14:textId="74397269" w:rsidR="00EA684D" w:rsidRPr="004D3D4E" w:rsidRDefault="006C418A" w:rsidP="00EA684D">
      <w:pPr>
        <w:pStyle w:val="Body"/>
        <w:spacing w:before="166" w:after="166" w:line="480" w:lineRule="auto"/>
        <w:ind w:firstLine="360"/>
        <w:jc w:val="both"/>
        <w:rPr>
          <w:rStyle w:val="Hyperlink1"/>
          <w:rFonts w:asciiTheme="minorBidi" w:hAnsiTheme="minorBidi" w:cstheme="minorBidi"/>
          <w:sz w:val="22"/>
          <w:szCs w:val="22"/>
        </w:rPr>
      </w:pPr>
      <w:r w:rsidRPr="004D3D4E">
        <w:rPr>
          <w:rFonts w:asciiTheme="minorBidi" w:eastAsia="Calibri Light" w:hAnsiTheme="minorBidi" w:cstheme="minorBidi"/>
          <w:b/>
          <w:bCs/>
          <w:sz w:val="22"/>
          <w:szCs w:val="22"/>
        </w:rPr>
        <w:t>Results:</w:t>
      </w:r>
      <w:r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 xml:space="preserve"> Among our population (29 eyes of 24 patients), 17 (70.80</w:t>
      </w:r>
      <w:r w:rsidRPr="004D3D4E">
        <w:rPr>
          <w:rFonts w:asciiTheme="minorBidi" w:eastAsia="Calibri Light" w:hAnsiTheme="minorBidi" w:cstheme="minorBidi"/>
          <w:sz w:val="22"/>
          <w:szCs w:val="22"/>
        </w:rPr>
        <w:t>%</w:t>
      </w:r>
      <w:r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>) were males, and the median age of the population was 27 (IQR= 6). Corneal thinning was present among 19</w:t>
      </w:r>
      <w:r w:rsidR="00861D66"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 xml:space="preserve"> </w:t>
      </w:r>
      <w:r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 xml:space="preserve">(65.5%) before the procedure, decreasing to 16 (55.2%) after the procedure. </w:t>
      </w:r>
      <w:r w:rsidR="00EA684D" w:rsidRPr="004D3D4E">
        <w:rPr>
          <w:rStyle w:val="Hyperlink1"/>
          <w:rFonts w:asciiTheme="minorBidi" w:hAnsiTheme="minorBidi" w:cstheme="minorBidi"/>
          <w:sz w:val="22"/>
          <w:szCs w:val="22"/>
          <w:lang w:val="en-US"/>
        </w:rPr>
        <w:t>C</w:t>
      </w:r>
      <w:r w:rsidR="00EA684D" w:rsidRPr="004D3D4E">
        <w:rPr>
          <w:rStyle w:val="Hyperlink1"/>
          <w:rFonts w:asciiTheme="minorBidi" w:hAnsiTheme="minorBidi" w:cstheme="minorBidi"/>
          <w:sz w:val="22"/>
          <w:szCs w:val="22"/>
          <w:lang w:val="en-US"/>
        </w:rPr>
        <w:t xml:space="preserve">orneal thickness measurements before CXL had a median of 459(IQR= 60), compared to post-CXL, which was 469(IQR= 87) (-1.93, P-value=0.053). </w:t>
      </w:r>
      <w:r w:rsidR="00EA684D"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>Abnormal astigmatism measurements were present in 28 (</w:t>
      </w:r>
      <w:r w:rsidR="00EA684D" w:rsidRPr="004D3D4E">
        <w:rPr>
          <w:rFonts w:asciiTheme="minorBidi" w:eastAsia="Calibri Light" w:hAnsiTheme="minorBidi" w:cstheme="minorBidi"/>
          <w:sz w:val="22"/>
          <w:szCs w:val="22"/>
        </w:rPr>
        <w:t>96.6%</w:t>
      </w:r>
      <w:r w:rsidR="00EA684D"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>) before CXL, compared to 26 (</w:t>
      </w:r>
      <w:r w:rsidR="00EA684D" w:rsidRPr="004D3D4E">
        <w:rPr>
          <w:rFonts w:asciiTheme="minorBidi" w:eastAsia="Calibri Light" w:hAnsiTheme="minorBidi" w:cstheme="minorBidi"/>
          <w:sz w:val="22"/>
          <w:szCs w:val="22"/>
        </w:rPr>
        <w:t>89.7%</w:t>
      </w:r>
      <w:r w:rsidR="00EA684D"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>) after CXL</w:t>
      </w:r>
      <w:r w:rsidR="00CB618A"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 xml:space="preserve"> (p=0.09)</w:t>
      </w:r>
      <w:r w:rsidR="00EA684D"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 xml:space="preserve">. </w:t>
      </w:r>
      <w:r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>Median values of abnormal astigmatism among patients before and after CXL were 2.5 (IQR= 3) and 3 (IQR= 3.7), respectively (Z= -1696, P-value=0.09). After CXL, anterior float median values changed from 33 (IQR= 24) to 38 (IQR= 25) (Z= -2.792, P-value=0.005). Posterior float median values remained the same 67 (IQR= 47) before, to 67 (IQR= 44) after (Z= -0.934, P-value=0.35).</w:t>
      </w:r>
      <w:r w:rsidR="00EA684D"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 xml:space="preserve"> </w:t>
      </w:r>
      <w:r w:rsidR="004D3D4E" w:rsidRPr="004D3D4E">
        <w:rPr>
          <w:rStyle w:val="Hyperlink1"/>
          <w:rFonts w:asciiTheme="minorBidi" w:hAnsiTheme="minorBidi" w:cstheme="minorBidi"/>
          <w:sz w:val="22"/>
          <w:szCs w:val="22"/>
          <w:lang w:val="pt-PT"/>
        </w:rPr>
        <w:t>Median K-max value (in diopters) was 54.3 (IQR=14.9) before CXL and 51.8 (IQR=14.1) after the procedure (Z= -0.529, P-value=0.597).</w:t>
      </w:r>
    </w:p>
    <w:p w14:paraId="14F6AAD8" w14:textId="77777777" w:rsidR="006C418A" w:rsidRPr="004D3D4E" w:rsidRDefault="006C418A" w:rsidP="006C418A">
      <w:pPr>
        <w:pStyle w:val="Body"/>
        <w:spacing w:line="480" w:lineRule="auto"/>
        <w:ind w:firstLine="360"/>
        <w:jc w:val="both"/>
        <w:rPr>
          <w:rFonts w:asciiTheme="minorBidi" w:eastAsia="Calibri Light" w:hAnsiTheme="minorBidi" w:cstheme="minorBidi"/>
          <w:sz w:val="22"/>
          <w:szCs w:val="22"/>
        </w:rPr>
      </w:pPr>
    </w:p>
    <w:p w14:paraId="19310685" w14:textId="1448869B" w:rsidR="00D96DB4" w:rsidRPr="00173870" w:rsidRDefault="006C418A" w:rsidP="00173870">
      <w:pPr>
        <w:pStyle w:val="Body"/>
        <w:spacing w:line="480" w:lineRule="auto"/>
        <w:ind w:firstLine="360"/>
        <w:jc w:val="both"/>
        <w:rPr>
          <w:rFonts w:asciiTheme="minorBidi" w:eastAsia="Calibri Light" w:hAnsiTheme="minorBidi" w:cstheme="minorBidi"/>
          <w:sz w:val="22"/>
          <w:szCs w:val="22"/>
        </w:rPr>
      </w:pPr>
      <w:r w:rsidRPr="004D3D4E">
        <w:rPr>
          <w:rFonts w:asciiTheme="minorBidi" w:eastAsia="Calibri Light" w:hAnsiTheme="minorBidi" w:cstheme="minorBidi"/>
          <w:b/>
          <w:bCs/>
          <w:sz w:val="22"/>
          <w:szCs w:val="22"/>
        </w:rPr>
        <w:t>Conclusion:</w:t>
      </w:r>
      <w:r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 xml:space="preserve"> </w:t>
      </w:r>
      <w:r w:rsidR="00861D66"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>Our</w:t>
      </w:r>
      <w:r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 xml:space="preserve"> study</w:t>
      </w:r>
      <w:r w:rsidR="00861D66"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 xml:space="preserve"> provides additional evidence</w:t>
      </w:r>
      <w:r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 xml:space="preserve"> </w:t>
      </w:r>
      <w:r w:rsidR="00861D66"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>of</w:t>
      </w:r>
      <w:r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 xml:space="preserve"> a significant improvement in topographic corneal changes in patients with corneal ectasia after CXL.</w:t>
      </w:r>
      <w:r w:rsidR="00861D66"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 xml:space="preserve"> </w:t>
      </w:r>
      <w:r w:rsidR="00861D66" w:rsidRPr="006C418A">
        <w:rPr>
          <w:rFonts w:asciiTheme="minorBidi" w:eastAsia="Times New Roman" w:hAnsiTheme="minorBidi" w:cstheme="minorBidi"/>
          <w:color w:val="222222"/>
          <w:sz w:val="22"/>
          <w:szCs w:val="22"/>
          <w:lang w:eastAsia="en-GB"/>
        </w:rPr>
        <w:t xml:space="preserve">However this corneal evolution </w:t>
      </w:r>
      <w:r w:rsidR="00861D66" w:rsidRPr="004D3D4E">
        <w:rPr>
          <w:rFonts w:asciiTheme="minorBidi" w:eastAsia="Times New Roman" w:hAnsiTheme="minorBidi" w:cstheme="minorBidi"/>
          <w:color w:val="222222"/>
          <w:sz w:val="22"/>
          <w:szCs w:val="22"/>
          <w:lang w:eastAsia="en-GB"/>
        </w:rPr>
        <w:t xml:space="preserve">towards a more regular corneal shape </w:t>
      </w:r>
      <w:r w:rsidR="00861D66" w:rsidRPr="006C418A">
        <w:rPr>
          <w:rFonts w:asciiTheme="minorBidi" w:eastAsia="Times New Roman" w:hAnsiTheme="minorBidi" w:cstheme="minorBidi"/>
          <w:color w:val="222222"/>
          <w:sz w:val="22"/>
          <w:szCs w:val="22"/>
          <w:lang w:eastAsia="en-GB"/>
        </w:rPr>
        <w:t>may not always be in the same topographical indices in different study populations.</w:t>
      </w:r>
      <w:r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 xml:space="preserve"> </w:t>
      </w:r>
      <w:r w:rsidR="00861D66"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>The</w:t>
      </w:r>
      <w:r w:rsidRPr="004D3D4E">
        <w:rPr>
          <w:rFonts w:asciiTheme="minorBidi" w:eastAsia="Calibri Light" w:hAnsiTheme="minorBidi" w:cstheme="minorBidi"/>
          <w:sz w:val="22"/>
          <w:szCs w:val="22"/>
          <w:lang w:val="en-US"/>
        </w:rPr>
        <w:t xml:space="preserve"> results illustrate the efficacy and </w:t>
      </w:r>
      <w:r w:rsidR="006F3714">
        <w:rPr>
          <w:rFonts w:asciiTheme="minorBidi" w:eastAsia="Calibri Light" w:hAnsiTheme="minorBidi" w:cstheme="minorBidi"/>
          <w:sz w:val="22"/>
          <w:szCs w:val="22"/>
          <w:lang w:val="en-US"/>
        </w:rPr>
        <w:t>safety</w:t>
      </w:r>
      <w:r w:rsidRPr="004D3D4E">
        <w:rPr>
          <w:rFonts w:asciiTheme="minorBidi" w:eastAsia="Calibri Light" w:hAnsiTheme="minorBidi" w:cstheme="minorBidi"/>
          <w:sz w:val="22"/>
          <w:szCs w:val="22"/>
          <w:lang w:val="it-IT"/>
        </w:rPr>
        <w:t xml:space="preserve"> of CXL for keratoconus among Saudi patients.</w:t>
      </w:r>
    </w:p>
    <w:sectPr w:rsidR="00D96DB4" w:rsidRPr="00173870" w:rsidSect="0017387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18A"/>
    <w:rsid w:val="00173870"/>
    <w:rsid w:val="004D3D4E"/>
    <w:rsid w:val="004D625A"/>
    <w:rsid w:val="006C418A"/>
    <w:rsid w:val="006F3714"/>
    <w:rsid w:val="00861D66"/>
    <w:rsid w:val="00A6508C"/>
    <w:rsid w:val="00CB618A"/>
    <w:rsid w:val="00D96DB4"/>
    <w:rsid w:val="00EA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B4D9A"/>
  <w15:chartTrackingRefBased/>
  <w15:docId w15:val="{F19157C1-9D4D-4100-A711-3A512D75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6C418A"/>
    <w:pPr>
      <w:spacing w:after="0" w:line="240" w:lineRule="auto"/>
    </w:pPr>
    <w:rPr>
      <w:rFonts w:ascii="Calibri" w:eastAsia="Calibri" w:hAnsi="Calibri" w:cs="Calibri"/>
      <w:color w:val="000000"/>
      <w:sz w:val="24"/>
      <w:szCs w:val="24"/>
      <w:u w:color="000000"/>
      <w:lang w:val="fr-FR"/>
    </w:rPr>
  </w:style>
  <w:style w:type="character" w:customStyle="1" w:styleId="None">
    <w:name w:val="None"/>
    <w:rsid w:val="00EA684D"/>
  </w:style>
  <w:style w:type="character" w:customStyle="1" w:styleId="Hyperlink1">
    <w:name w:val="Hyperlink.1"/>
    <w:basedOn w:val="None"/>
    <w:rsid w:val="00EA684D"/>
    <w:rPr>
      <w:rFonts w:ascii="Calibri Light" w:eastAsia="Calibri Light" w:hAnsi="Calibri Light" w:cs="Calibri Light" w:hint="default"/>
    </w:rPr>
  </w:style>
  <w:style w:type="paragraph" w:customStyle="1" w:styleId="para">
    <w:name w:val="para"/>
    <w:rsid w:val="004D625A"/>
    <w:pP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0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Mouna Abdalla</dc:creator>
  <cp:keywords/>
  <dc:description/>
  <cp:lastModifiedBy>Mouna Abdalla</cp:lastModifiedBy>
  <cp:revision>4</cp:revision>
  <dcterms:created xsi:type="dcterms:W3CDTF">2020-01-27T16:50:00Z</dcterms:created>
  <dcterms:modified xsi:type="dcterms:W3CDTF">2020-01-27T16:54:00Z</dcterms:modified>
</cp:coreProperties>
</file>