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EC6" w:rsidRDefault="00DE1EC6" w:rsidP="00C557AD">
      <w:pPr>
        <w:pStyle w:val="NormalWeb"/>
        <w:spacing w:after="0"/>
      </w:pPr>
      <w:r>
        <w:t>The high mortality rate in squamous cell carcinoma of the head and neck due not only to identify rare disease in its early stages, and the insufficient use of the most efficient combined and complex treatments. When squamous head and neck cancer is a major combined method, including radiation therapy and surgery. Finding an effective treatment of patients with squamous cell carcinoma of the head and neck followed the path of new anticancer drugs. These new drugs were taxanes. The use of taxanes in monotherapy or in combination with 5-fluorouracil and cisplatin showed a high coupling efficiency of these drugs. TPF scheme is recommended to use in patients with locally advanced squamous cell carcinoma patients often palliative purposes in conjunction with radiation therapy, either simultaneously or sequentially. The results of this treatment have shown a high positive response in the form of reduction or complete regression of the primary tumor and metastases hearth.</w:t>
      </w:r>
    </w:p>
    <w:p w:rsidR="00DE1EC6" w:rsidRDefault="00DE1EC6" w:rsidP="00C557AD">
      <w:pPr>
        <w:pStyle w:val="NormalWeb"/>
        <w:spacing w:after="0"/>
      </w:pPr>
      <w:r>
        <w:t xml:space="preserve">Negative effects from radiation therapy in the form of heavy osteoradionecrosis facial bones, orthopedic instability of dental structures, limiting the use of reconstructive plastic surgery in the area of </w:t>
      </w:r>
      <w:r>
        <w:rPr>
          <w:rFonts w:ascii="Arial Unicode MS" w:eastAsia="Arial Unicode MS" w:hAnsi="Arial Unicode MS" w:cs="Arial Unicode MS" w:hint="eastAsia"/>
        </w:rPr>
        <w:t>​​</w:t>
      </w:r>
      <w:r>
        <w:t>radiation therapy (usually 60-70 Gy) was the search for a new combination of these methods of treatment of this localization.</w:t>
      </w:r>
    </w:p>
    <w:p w:rsidR="00DE1EC6" w:rsidRDefault="00DE1EC6" w:rsidP="00C557AD">
      <w:pPr>
        <w:pStyle w:val="NormalWeb"/>
        <w:spacing w:after="0"/>
      </w:pPr>
      <w:r>
        <w:t>Materials and methods</w:t>
      </w:r>
    </w:p>
    <w:p w:rsidR="00DE1EC6" w:rsidRDefault="00DE1EC6" w:rsidP="00C557AD">
      <w:pPr>
        <w:pStyle w:val="NormalWeb"/>
        <w:spacing w:after="0"/>
      </w:pPr>
      <w:r>
        <w:t>Such a scheme for the use of neoadjuvant chemotherapy TPF scheme has been selected in standard mode, followed by surgery.</w:t>
      </w:r>
    </w:p>
    <w:p w:rsidR="00DE1EC6" w:rsidRDefault="00DE1EC6" w:rsidP="00C557AD">
      <w:pPr>
        <w:pStyle w:val="NormalWeb"/>
        <w:spacing w:after="0"/>
      </w:pPr>
      <w:r>
        <w:t>Protocol Design: 2 Centering a randomized open-label study. Start the research initiated in 2014. The entire cohort of patients of patients with squamous cell carcinoma of the oral cavity and pharynx was divided into 2 groups. The first control group of patients receiving neoadjuvant chemoradiotherapy in standard mode - 40-45 Gray and 5-FU and platinum, the second main receiving neoadjuvant chemotherapy for TPF scheme in the preoperative period of 2 to 4 courses with the assessment of the dynamics. After the operation at rates pathomorphism second degree or higher in the main group still receive 4 courses of chemotherapy. To analyze the treatment of indicators: the degree of morphological pathomorphism tumor tissue, the ability to retain surgery, complication rates, completion of the reconstruction, general and disease-free survival, local control.</w:t>
      </w:r>
    </w:p>
    <w:p w:rsidR="00DE1EC6" w:rsidRDefault="00DE1EC6" w:rsidP="00C557AD">
      <w:pPr>
        <w:pStyle w:val="NormalWeb"/>
        <w:spacing w:after="0"/>
      </w:pPr>
      <w:r>
        <w:t>results</w:t>
      </w:r>
    </w:p>
    <w:p w:rsidR="00DE1EC6" w:rsidRDefault="00DE1EC6" w:rsidP="00C557AD">
      <w:pPr>
        <w:pStyle w:val="NormalWeb"/>
        <w:spacing w:after="0"/>
      </w:pPr>
      <w:r>
        <w:t>Currently, recruited 46 patients.</w:t>
      </w:r>
    </w:p>
    <w:p w:rsidR="00DE1EC6" w:rsidRDefault="00DE1EC6" w:rsidP="00C557AD">
      <w:pPr>
        <w:pStyle w:val="NormalWeb"/>
        <w:spacing w:after="0"/>
      </w:pPr>
      <w:r>
        <w:t>In the group of patients receiving only chemotherapy amount of intact operations was higher than in the group chemoradiotherapy 13 of 20 in primary and 10 out of 26 in the control group. The number of complications in this group with less polychemotherapy.</w:t>
      </w:r>
    </w:p>
    <w:p w:rsidR="00DE1EC6" w:rsidRDefault="00DE1EC6" w:rsidP="00C557AD">
      <w:pPr>
        <w:pStyle w:val="NormalWeb"/>
        <w:spacing w:after="0"/>
      </w:pPr>
      <w:r>
        <w:t>The frequency of grade 3-4 pathomorphism therapeutic in the tumor was much higher in patients with neoadjuvant chemotherapy group than in the chemoradiotherapy - 13 out of 20 in the study group and 12 out of 26 in the control group. This was confirmed in studies morphologically operative material. Postoperatively, patients in neoadjuvant chemotherapy group was also held the continuation of chemotherapy at the same TPF scheme of 3-4 courses. After a full treatment of this complex group of patients we observed for 1 year, and the data for the progression and relapse of tumors received. Patients successfully pass a series of reconstructive and orthopedic surgery.</w:t>
      </w:r>
    </w:p>
    <w:p w:rsidR="00DE1EC6" w:rsidRDefault="00DE1EC6" w:rsidP="00C557AD">
      <w:pPr>
        <w:pStyle w:val="NormalWeb"/>
        <w:spacing w:after="0"/>
      </w:pPr>
      <w:r>
        <w:t>conclusion</w:t>
      </w:r>
    </w:p>
    <w:p w:rsidR="00DE1EC6" w:rsidRDefault="00DE1EC6" w:rsidP="00C557AD">
      <w:pPr>
        <w:pStyle w:val="NormalWeb"/>
        <w:spacing w:after="0"/>
      </w:pPr>
      <w:r>
        <w:t>Based on these data, we decided to continue the research to study all the results.</w:t>
      </w:r>
    </w:p>
    <w:p w:rsidR="00DE1EC6" w:rsidRPr="00D439A3" w:rsidRDefault="00DE1EC6">
      <w:pPr>
        <w:rPr>
          <w:rFonts w:ascii="Times New Roman" w:hAnsi="Times New Roman"/>
          <w:sz w:val="24"/>
          <w:szCs w:val="24"/>
        </w:rPr>
      </w:pPr>
    </w:p>
    <w:sectPr w:rsidR="00DE1EC6" w:rsidRPr="00D439A3" w:rsidSect="0078019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39A7"/>
    <w:rsid w:val="00163632"/>
    <w:rsid w:val="001F1A80"/>
    <w:rsid w:val="0026009F"/>
    <w:rsid w:val="00444E49"/>
    <w:rsid w:val="00454A73"/>
    <w:rsid w:val="00542962"/>
    <w:rsid w:val="00733D51"/>
    <w:rsid w:val="00780190"/>
    <w:rsid w:val="007B51FB"/>
    <w:rsid w:val="00C557AD"/>
    <w:rsid w:val="00CC7E11"/>
    <w:rsid w:val="00D439A3"/>
    <w:rsid w:val="00D6781B"/>
    <w:rsid w:val="00DE1EC6"/>
    <w:rsid w:val="00F656F7"/>
    <w:rsid w:val="00FA39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A80"/>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C557AD"/>
    <w:pPr>
      <w:spacing w:before="100" w:beforeAutospacing="1" w:after="119"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3515658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TotalTime>
  <Pages>2</Pages>
  <Words>504</Words>
  <Characters>2876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Пластическая хирурги</dc:creator>
  <cp:keywords/>
  <dc:description/>
  <cp:lastModifiedBy>Nataly</cp:lastModifiedBy>
  <cp:revision>5</cp:revision>
  <dcterms:created xsi:type="dcterms:W3CDTF">2015-03-25T08:17:00Z</dcterms:created>
  <dcterms:modified xsi:type="dcterms:W3CDTF">2016-07-06T08:40:00Z</dcterms:modified>
</cp:coreProperties>
</file>