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2732A" w:rsidP="00494130">
      <w:pPr>
        <w:pStyle w:val="1"/>
        <w:spacing w:before="170"/>
        <w:ind w:left="0"/>
      </w:pPr>
      <w:r w:rsidRPr="00FB366D">
        <w:rPr>
          <w:color w:val="337AB7"/>
        </w:rPr>
        <w:t>Characteristics of Over-Mature Marine Black Shale Reservoir in Lower Paleozoic, Sichuan, China</w:t>
      </w:r>
    </w:p>
    <w:p w:rsidR="005973B9" w:rsidRPr="00FD5912" w:rsidRDefault="0062732A" w:rsidP="00FB366D">
      <w:pPr>
        <w:pStyle w:val="a3"/>
        <w:spacing w:before="73" w:line="198" w:lineRule="exact"/>
        <w:ind w:right="5987"/>
        <w:rPr>
          <w:rFonts w:ascii="Arial"/>
        </w:rPr>
      </w:pPr>
      <w:proofErr w:type="spellStart"/>
      <w:r w:rsidRPr="00FD5912">
        <w:rPr>
          <w:rFonts w:ascii="Arial"/>
        </w:rPr>
        <w:t>Tingshan</w:t>
      </w:r>
      <w:proofErr w:type="spellEnd"/>
      <w:r w:rsidRPr="00FD5912">
        <w:rPr>
          <w:rFonts w:ascii="Arial"/>
        </w:rPr>
        <w:t xml:space="preserve"> </w:t>
      </w:r>
      <w:proofErr w:type="spellStart"/>
      <w:r w:rsidRPr="00FD5912">
        <w:rPr>
          <w:rFonts w:ascii="Arial"/>
        </w:rPr>
        <w:t>ZHANG</w:t>
      </w:r>
      <w:r w:rsidR="00FB366D" w:rsidRPr="00FD5912">
        <w:rPr>
          <w:rFonts w:ascii="微软雅黑" w:eastAsia="微软雅黑" w:hAnsi="微软雅黑" w:cs="微软雅黑" w:hint="eastAsia"/>
        </w:rPr>
        <w:t>，</w:t>
      </w:r>
      <w:r w:rsidRPr="00FD5912">
        <w:rPr>
          <w:rFonts w:ascii="Arial"/>
        </w:rPr>
        <w:t>Xiaohui</w:t>
      </w:r>
      <w:proofErr w:type="spellEnd"/>
      <w:r w:rsidRPr="00FD5912">
        <w:rPr>
          <w:rFonts w:ascii="Arial"/>
        </w:rPr>
        <w:t xml:space="preserve"> C</w:t>
      </w:r>
      <w:r w:rsidR="00FD5912" w:rsidRPr="00FD5912">
        <w:rPr>
          <w:rFonts w:ascii="Arial"/>
        </w:rPr>
        <w:t>HEN</w:t>
      </w:r>
      <w:r w:rsidRPr="00FD5912">
        <w:rPr>
          <w:rFonts w:ascii="Arial"/>
        </w:rPr>
        <w:t xml:space="preserve"> </w:t>
      </w:r>
    </w:p>
    <w:p w:rsidR="00FB366D" w:rsidRPr="00FD5912" w:rsidRDefault="00FB366D">
      <w:pPr>
        <w:rPr>
          <w:rFonts w:ascii="Arial"/>
          <w:sz w:val="18"/>
          <w:szCs w:val="18"/>
        </w:rPr>
      </w:pPr>
      <w:r w:rsidRPr="00FD5912">
        <w:rPr>
          <w:rFonts w:ascii="Arial" w:hint="eastAsia"/>
          <w:sz w:val="18"/>
          <w:szCs w:val="18"/>
        </w:rPr>
        <w:t>S</w:t>
      </w:r>
      <w:r w:rsidRPr="00FD5912">
        <w:rPr>
          <w:rFonts w:ascii="Arial"/>
          <w:sz w:val="18"/>
          <w:szCs w:val="18"/>
        </w:rPr>
        <w:t>tate Key Laboratory of Oil and Gas Reservoir Geology and Exploration, Chengdu 610500, China</w:t>
      </w:r>
    </w:p>
    <w:p w:rsidR="00AE3E37" w:rsidRDefault="00FB366D">
      <w:pPr>
        <w:rPr>
          <w:rStyle w:val="fontstyle01"/>
          <w:rFonts w:ascii="宋体" w:eastAsia="宋体" w:hAnsi="宋体"/>
          <w:b/>
          <w:sz w:val="21"/>
          <w:szCs w:val="21"/>
        </w:rPr>
      </w:pPr>
      <w:r w:rsidRPr="00FD5912">
        <w:rPr>
          <w:rFonts w:ascii="Arial"/>
          <w:sz w:val="18"/>
          <w:szCs w:val="18"/>
        </w:rPr>
        <w:t>School of Geoscience and Technology, Southwest Petroleum University, Chengdu 610500, China</w:t>
      </w:r>
    </w:p>
    <w:p w:rsidR="00FB366D" w:rsidRDefault="00FB366D">
      <w:pPr>
        <w:rPr>
          <w:rStyle w:val="fontstyle01"/>
          <w:rFonts w:ascii="宋体" w:eastAsia="宋体" w:hAnsi="宋体"/>
          <w:b/>
          <w:sz w:val="21"/>
          <w:szCs w:val="21"/>
        </w:rPr>
      </w:pPr>
    </w:p>
    <w:p w:rsidR="00FB366D" w:rsidRDefault="00FB366D">
      <w:pPr>
        <w:rPr>
          <w:rFonts w:ascii="Arial"/>
          <w:sz w:val="21"/>
        </w:rPr>
        <w:sectPr w:rsidR="00FB366D"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t>Abstract</w:t>
      </w:r>
      <w:r w:rsidR="00404E5B">
        <w:rPr>
          <w:color w:val="BF5A14"/>
        </w:rPr>
        <w:t xml:space="preserve"> </w:t>
      </w:r>
    </w:p>
    <w:p w:rsidR="00AE3E37" w:rsidRPr="00E044EB" w:rsidRDefault="0062732A">
      <w:pPr>
        <w:pStyle w:val="a3"/>
        <w:spacing w:before="90" w:line="280" w:lineRule="auto"/>
        <w:ind w:left="100"/>
        <w:jc w:val="both"/>
      </w:pPr>
      <w:r w:rsidRPr="00FD5912">
        <w:t xml:space="preserve">In order to interpret the reservoir characteristics of the Lower Paleozoic  black shale, eight core samples collected from </w:t>
      </w:r>
      <w:proofErr w:type="spellStart"/>
      <w:r w:rsidRPr="00FD5912">
        <w:t>Wufeng-Longmaxi</w:t>
      </w:r>
      <w:proofErr w:type="spellEnd"/>
      <w:r w:rsidRPr="00FD5912">
        <w:t xml:space="preserve"> formation were investigated using carbon sulfur analyzer, </w:t>
      </w:r>
      <w:proofErr w:type="spellStart"/>
      <w:r w:rsidRPr="00FD5912">
        <w:t>microphotometric</w:t>
      </w:r>
      <w:proofErr w:type="spellEnd"/>
      <w:r w:rsidRPr="00FD5912">
        <w:t xml:space="preserve">, X-ray </w:t>
      </w:r>
      <w:proofErr w:type="spellStart"/>
      <w:r w:rsidRPr="00FD5912">
        <w:t>diffractometry</w:t>
      </w:r>
      <w:proofErr w:type="spellEnd"/>
      <w:r w:rsidRPr="00FD5912">
        <w:t xml:space="preserve"> (XRD), environmental scanning electron microscopy (ESEM) observation, mercury </w:t>
      </w:r>
      <w:proofErr w:type="spellStart"/>
      <w:r w:rsidRPr="00FD5912">
        <w:t>porosimetry</w:t>
      </w:r>
      <w:proofErr w:type="spellEnd"/>
      <w:r w:rsidRPr="00FD5912">
        <w:t xml:space="preserve">, and low pressure nitrogen adsorption methods.. Results indicate that the TOC content of shale samples range from 0.51% to 5.91%, and their equivalent </w:t>
      </w:r>
      <w:proofErr w:type="spellStart"/>
      <w:r w:rsidRPr="00FD5912">
        <w:t>vitrinite</w:t>
      </w:r>
      <w:proofErr w:type="spellEnd"/>
      <w:r w:rsidRPr="00FD5912">
        <w:t xml:space="preserve"> reflectance (</w:t>
      </w:r>
      <w:proofErr w:type="spellStart"/>
      <w:r w:rsidRPr="00FD5912">
        <w:t>VRr</w:t>
      </w:r>
      <w:proofErr w:type="spellEnd"/>
      <w:r w:rsidRPr="00FD5912">
        <w:t xml:space="preserve">) ranges from 2.79% to 3.04%. The total porosity of the black shale samples ranges from 3.58% to 4.85%, and their average pore-throat diameter of </w:t>
      </w:r>
      <w:proofErr w:type="spellStart"/>
      <w:r w:rsidRPr="00FD5912">
        <w:t>macropores</w:t>
      </w:r>
      <w:proofErr w:type="spellEnd"/>
      <w:r w:rsidRPr="00FD5912">
        <w:t xml:space="preserve"> ranges from 0.05 to 0.1μm. Low pressure N2 adsorption isothermals indicate the total surface areas (SBET) ranges from </w:t>
      </w:r>
      <w:smartTag w:uri="urn:schemas-microsoft-com:office:smarttags" w:element="chmetcnv">
        <w:smartTagPr>
          <w:attr w:name="TCSC" w:val="0"/>
          <w:attr w:name="NumberType" w:val="1"/>
          <w:attr w:name="Negative" w:val="False"/>
          <w:attr w:name="HasSpace" w:val="True"/>
          <w:attr w:name="SourceValue" w:val="9.55"/>
          <w:attr w:name="UnitName" w:val="m2"/>
        </w:smartTagPr>
        <w:r w:rsidRPr="00FD5912">
          <w:t>9.55 m2</w:t>
        </w:r>
      </w:smartTag>
      <w:r w:rsidRPr="00FD5912">
        <w:t xml:space="preserve">/g to </w:t>
      </w:r>
      <w:smartTag w:uri="urn:schemas-microsoft-com:office:smarttags" w:element="chmetcnv">
        <w:smartTagPr>
          <w:attr w:name="TCSC" w:val="0"/>
          <w:attr w:name="NumberType" w:val="1"/>
          <w:attr w:name="Negative" w:val="False"/>
          <w:attr w:name="HasSpace" w:val="True"/>
          <w:attr w:name="SourceValue" w:val="18.89"/>
          <w:attr w:name="UnitName" w:val="m2"/>
        </w:smartTagPr>
        <w:r w:rsidRPr="00FD5912">
          <w:t>18.89 m2</w:t>
        </w:r>
      </w:smartTag>
      <w:r w:rsidRPr="00FD5912">
        <w:t xml:space="preserve">/g, and pore volume ranging from </w:t>
      </w:r>
      <w:smartTag w:uri="urn:schemas-microsoft-com:office:smarttags" w:element="chmetcnv">
        <w:smartTagPr>
          <w:attr w:name="TCSC" w:val="0"/>
          <w:attr w:name="NumberType" w:val="1"/>
          <w:attr w:name="Negative" w:val="False"/>
          <w:attr w:name="HasSpace" w:val="True"/>
          <w:attr w:name="SourceValue" w:val=".011"/>
          <w:attr w:name="UnitName" w:val="cm"/>
        </w:smartTagPr>
        <w:r w:rsidRPr="00FD5912">
          <w:t>0.011 cm</w:t>
        </w:r>
      </w:smartTag>
      <w:r w:rsidRPr="00FD5912">
        <w:t xml:space="preserve">3/g to </w:t>
      </w:r>
      <w:smartTag w:uri="urn:schemas-microsoft-com:office:smarttags" w:element="chmetcnv">
        <w:smartTagPr>
          <w:attr w:name="TCSC" w:val="0"/>
          <w:attr w:name="NumberType" w:val="1"/>
          <w:attr w:name="Negative" w:val="False"/>
          <w:attr w:name="HasSpace" w:val="True"/>
          <w:attr w:name="SourceValue" w:val=".02"/>
          <w:attr w:name="UnitName" w:val="cm"/>
        </w:smartTagPr>
        <w:r w:rsidRPr="00FD5912">
          <w:t>0.020 cm</w:t>
        </w:r>
      </w:smartTag>
      <w:r w:rsidRPr="00FD5912">
        <w:t xml:space="preserve">3/g. In addition, the total porosity, the total surface areas and the pore volume show good positive relationship with TOC and weak positive relationship with total clay mineral content. The average pore size of eight samples ranges from 2.92 nm to 3.68 nm. The TOC </w:t>
      </w:r>
      <w:proofErr w:type="spellStart"/>
      <w:r w:rsidRPr="00FD5912">
        <w:t>content</w:t>
      </w:r>
      <w:proofErr w:type="gramStart"/>
      <w:r w:rsidRPr="00FD5912">
        <w:t>,keroganic</w:t>
      </w:r>
      <w:proofErr w:type="spellEnd"/>
      <w:proofErr w:type="gramEnd"/>
      <w:r w:rsidRPr="00FD5912">
        <w:t xml:space="preserve"> type ,clay mineral and thermal evolution are believed to be the main factors to control the pore structure development. This study </w:t>
      </w:r>
      <w:proofErr w:type="spellStart"/>
      <w:r w:rsidRPr="00FD5912">
        <w:t>demostrates</w:t>
      </w:r>
      <w:proofErr w:type="spellEnd"/>
      <w:r w:rsidRPr="00FD5912">
        <w:t xml:space="preserve"> some important factors of the over-mature </w:t>
      </w:r>
      <w:proofErr w:type="spellStart"/>
      <w:r w:rsidRPr="00FD5912">
        <w:t>Wufeng-Longmaxi</w:t>
      </w:r>
      <w:proofErr w:type="spellEnd"/>
      <w:r w:rsidRPr="00FD5912">
        <w:t xml:space="preserve"> black shale reservoir, and they could be helpful to the exploration activity and reservoir evaluation of the study area.</w:t>
      </w:r>
    </w:p>
    <w:p w:rsidR="005973B9" w:rsidRDefault="00A9710C" w:rsidP="00B05967">
      <w:pPr>
        <w:pStyle w:val="3"/>
        <w:spacing w:before="74"/>
        <w:rPr>
          <w:b w:val="0"/>
        </w:rPr>
      </w:pPr>
      <w:r>
        <w:rPr>
          <w:b w:val="0"/>
        </w:rPr>
        <w:br w:type="column"/>
      </w:r>
      <w:r w:rsidR="005973B9">
        <w:rPr>
          <w:color w:val="BF5A14"/>
        </w:rPr>
        <w:t>Recent Publications</w:t>
      </w:r>
    </w:p>
    <w:p w:rsidR="005973B9" w:rsidRPr="00FD5912" w:rsidRDefault="0062732A" w:rsidP="00E044EB">
      <w:pPr>
        <w:pStyle w:val="a4"/>
        <w:numPr>
          <w:ilvl w:val="0"/>
          <w:numId w:val="3"/>
        </w:numPr>
        <w:tabs>
          <w:tab w:val="left" w:pos="384"/>
        </w:tabs>
        <w:spacing w:line="216" w:lineRule="exact"/>
        <w:ind w:left="386" w:right="136"/>
        <w:jc w:val="left"/>
        <w:rPr>
          <w:rFonts w:eastAsia="Tw Cen MT" w:cs="Tw Cen MT"/>
          <w:sz w:val="18"/>
          <w:szCs w:val="18"/>
        </w:rPr>
      </w:pPr>
      <w:bookmarkStart w:id="0" w:name="_GoBack"/>
      <w:bookmarkEnd w:id="0"/>
      <w:proofErr w:type="spellStart"/>
      <w:r w:rsidRPr="00FD5912">
        <w:rPr>
          <w:rFonts w:eastAsia="Tw Cen MT" w:cs="Tw Cen MT"/>
          <w:sz w:val="18"/>
          <w:szCs w:val="18"/>
        </w:rPr>
        <w:t>Loucks</w:t>
      </w:r>
      <w:proofErr w:type="spellEnd"/>
      <w:r w:rsidRPr="00FD5912">
        <w:rPr>
          <w:rFonts w:eastAsia="Tw Cen MT" w:cs="Tw Cen MT"/>
          <w:sz w:val="18"/>
          <w:szCs w:val="18"/>
        </w:rPr>
        <w:t xml:space="preserve">, R. G., Reed R. M, </w:t>
      </w:r>
      <w:proofErr w:type="spellStart"/>
      <w:r w:rsidRPr="00FD5912">
        <w:rPr>
          <w:rFonts w:eastAsia="Tw Cen MT" w:cs="Tw Cen MT"/>
          <w:sz w:val="18"/>
          <w:szCs w:val="18"/>
        </w:rPr>
        <w:t>Ruppel</w:t>
      </w:r>
      <w:proofErr w:type="spellEnd"/>
      <w:r w:rsidRPr="00FD5912">
        <w:rPr>
          <w:rFonts w:eastAsia="Tw Cen MT" w:cs="Tw Cen MT"/>
          <w:sz w:val="18"/>
          <w:szCs w:val="18"/>
        </w:rPr>
        <w:t xml:space="preserve"> S. C., </w:t>
      </w:r>
      <w:proofErr w:type="spellStart"/>
      <w:r w:rsidRPr="00FD5912">
        <w:rPr>
          <w:rFonts w:eastAsia="Tw Cen MT" w:cs="Tw Cen MT"/>
          <w:sz w:val="18"/>
          <w:szCs w:val="18"/>
        </w:rPr>
        <w:t>Jarvie</w:t>
      </w:r>
      <w:proofErr w:type="spellEnd"/>
      <w:r w:rsidRPr="00FD5912">
        <w:rPr>
          <w:rFonts w:eastAsia="Tw Cen MT" w:cs="Tw Cen MT"/>
          <w:sz w:val="18"/>
          <w:szCs w:val="18"/>
        </w:rPr>
        <w:t xml:space="preserve"> D. M., 2009. Morphology, genesis, and distribution of nanometer-scale pores in siliceous mudstones of the Mississippian Barnett shale. Journal of Sedimentary Research, v. 79, p. 848-861. DOI: 10.2110/jsr.2009.092</w:t>
      </w:r>
    </w:p>
    <w:p w:rsidR="0062732A" w:rsidRPr="00FD5912" w:rsidRDefault="0062732A" w:rsidP="00FB366D">
      <w:pPr>
        <w:pStyle w:val="a4"/>
        <w:numPr>
          <w:ilvl w:val="0"/>
          <w:numId w:val="3"/>
        </w:numPr>
        <w:tabs>
          <w:tab w:val="left" w:pos="384"/>
        </w:tabs>
        <w:spacing w:before="103" w:line="216" w:lineRule="exact"/>
        <w:ind w:right="138" w:hanging="283"/>
        <w:rPr>
          <w:rFonts w:eastAsia="Tw Cen MT" w:cs="Tw Cen MT"/>
          <w:sz w:val="18"/>
          <w:szCs w:val="18"/>
        </w:rPr>
      </w:pPr>
      <w:r w:rsidRPr="00FD5912">
        <w:rPr>
          <w:rFonts w:eastAsia="Tw Cen MT" w:cs="Tw Cen MT"/>
          <w:sz w:val="18"/>
          <w:szCs w:val="18"/>
        </w:rPr>
        <w:t xml:space="preserve">Chalmers G. R., </w:t>
      </w:r>
      <w:proofErr w:type="spellStart"/>
      <w:r w:rsidRPr="00FD5912">
        <w:rPr>
          <w:rFonts w:eastAsia="Tw Cen MT" w:cs="Tw Cen MT"/>
          <w:sz w:val="18"/>
          <w:szCs w:val="18"/>
        </w:rPr>
        <w:t>Bustin</w:t>
      </w:r>
      <w:proofErr w:type="spellEnd"/>
      <w:r w:rsidRPr="00FD5912">
        <w:rPr>
          <w:rFonts w:eastAsia="Tw Cen MT" w:cs="Tw Cen MT"/>
          <w:sz w:val="18"/>
          <w:szCs w:val="18"/>
        </w:rPr>
        <w:t xml:space="preserve"> R. M., Power I. M., 2012. Characterization of gas shale pore systems by </w:t>
      </w:r>
      <w:proofErr w:type="spellStart"/>
      <w:r w:rsidRPr="00FD5912">
        <w:rPr>
          <w:rFonts w:eastAsia="Tw Cen MT" w:cs="Tw Cen MT"/>
          <w:sz w:val="18"/>
          <w:szCs w:val="18"/>
        </w:rPr>
        <w:t>porosimetry</w:t>
      </w:r>
      <w:proofErr w:type="spellEnd"/>
      <w:r w:rsidRPr="00FD5912">
        <w:rPr>
          <w:rFonts w:eastAsia="Tw Cen MT" w:cs="Tw Cen MT"/>
          <w:sz w:val="18"/>
          <w:szCs w:val="18"/>
        </w:rPr>
        <w:t xml:space="preserve">, </w:t>
      </w:r>
      <w:proofErr w:type="spellStart"/>
      <w:r w:rsidRPr="00FD5912">
        <w:rPr>
          <w:rFonts w:eastAsia="Tw Cen MT" w:cs="Tw Cen MT"/>
          <w:sz w:val="18"/>
          <w:szCs w:val="18"/>
        </w:rPr>
        <w:t>pycnometry</w:t>
      </w:r>
      <w:proofErr w:type="spellEnd"/>
      <w:r w:rsidRPr="00FD5912">
        <w:rPr>
          <w:rFonts w:eastAsia="Tw Cen MT" w:cs="Tw Cen MT"/>
          <w:sz w:val="18"/>
          <w:szCs w:val="18"/>
        </w:rPr>
        <w:t xml:space="preserve">, surface area, and field emission scanning electron microscopy/transmission electron microscopy image analyses: Examples from the Barnett, Woodford, Haynesville, Marcellus, and </w:t>
      </w:r>
      <w:proofErr w:type="spellStart"/>
      <w:r w:rsidRPr="00FD5912">
        <w:rPr>
          <w:rFonts w:eastAsia="Tw Cen MT" w:cs="Tw Cen MT"/>
          <w:sz w:val="18"/>
          <w:szCs w:val="18"/>
        </w:rPr>
        <w:t>Doig</w:t>
      </w:r>
      <w:proofErr w:type="spellEnd"/>
      <w:r w:rsidRPr="00FD5912">
        <w:rPr>
          <w:rFonts w:eastAsia="Tw Cen MT" w:cs="Tw Cen MT"/>
          <w:sz w:val="18"/>
          <w:szCs w:val="18"/>
        </w:rPr>
        <w:t xml:space="preserve"> units. AAPG Bulletin, v. 96, no. 6, pp. 1099-1119. DOI: 10.1306/10171111052</w:t>
      </w:r>
    </w:p>
    <w:p w:rsidR="0062732A" w:rsidRPr="00FD5912" w:rsidRDefault="0062732A" w:rsidP="00FB366D">
      <w:pPr>
        <w:pStyle w:val="a4"/>
        <w:numPr>
          <w:ilvl w:val="0"/>
          <w:numId w:val="3"/>
        </w:numPr>
        <w:tabs>
          <w:tab w:val="left" w:pos="384"/>
        </w:tabs>
        <w:spacing w:before="103" w:line="216" w:lineRule="exact"/>
        <w:ind w:right="138" w:hanging="283"/>
        <w:rPr>
          <w:rFonts w:eastAsia="Tw Cen MT" w:cs="Tw Cen MT"/>
          <w:sz w:val="18"/>
          <w:szCs w:val="18"/>
        </w:rPr>
      </w:pPr>
      <w:proofErr w:type="spellStart"/>
      <w:r w:rsidRPr="00FD5912">
        <w:rPr>
          <w:rFonts w:eastAsia="Tw Cen MT" w:cs="Tw Cen MT"/>
          <w:sz w:val="18"/>
          <w:szCs w:val="18"/>
        </w:rPr>
        <w:t>Kuila</w:t>
      </w:r>
      <w:proofErr w:type="spellEnd"/>
      <w:r w:rsidRPr="00FD5912">
        <w:rPr>
          <w:rFonts w:eastAsia="Tw Cen MT" w:cs="Tw Cen MT"/>
          <w:sz w:val="18"/>
          <w:szCs w:val="18"/>
        </w:rPr>
        <w:t xml:space="preserve"> U., and Prasad M., 2013. Specific surface area and pore-size distribution in clays and shales. Geophysical Prospecting, v. 61, pp. 341-362. </w:t>
      </w:r>
      <w:proofErr w:type="spellStart"/>
      <w:r w:rsidRPr="00FD5912">
        <w:rPr>
          <w:rFonts w:eastAsia="Tw Cen MT" w:cs="Tw Cen MT"/>
          <w:sz w:val="18"/>
          <w:szCs w:val="18"/>
        </w:rPr>
        <w:t>Doi</w:t>
      </w:r>
      <w:proofErr w:type="spellEnd"/>
      <w:r w:rsidRPr="00FD5912">
        <w:rPr>
          <w:rFonts w:eastAsia="Tw Cen MT" w:cs="Tw Cen MT"/>
          <w:sz w:val="18"/>
          <w:szCs w:val="18"/>
        </w:rPr>
        <w:t xml:space="preserve">: 10.1111/1365-2478.12028 </w:t>
      </w:r>
      <w:r w:rsidRPr="00FD5912">
        <w:rPr>
          <w:rFonts w:eastAsia="Tw Cen MT" w:cs="Tw Cen MT"/>
          <w:sz w:val="18"/>
          <w:szCs w:val="18"/>
        </w:rPr>
        <w:tab/>
      </w:r>
    </w:p>
    <w:p w:rsidR="0062732A" w:rsidRDefault="0062732A" w:rsidP="00FB366D">
      <w:pPr>
        <w:pStyle w:val="a4"/>
        <w:numPr>
          <w:ilvl w:val="0"/>
          <w:numId w:val="3"/>
        </w:numPr>
        <w:tabs>
          <w:tab w:val="left" w:pos="384"/>
        </w:tabs>
        <w:spacing w:before="103" w:line="216" w:lineRule="exact"/>
        <w:ind w:right="138" w:hanging="283"/>
        <w:rPr>
          <w:rFonts w:eastAsia="Tw Cen MT" w:cs="Tw Cen MT"/>
          <w:sz w:val="18"/>
          <w:szCs w:val="18"/>
        </w:rPr>
      </w:pPr>
      <w:proofErr w:type="spellStart"/>
      <w:r w:rsidRPr="00FD5912">
        <w:rPr>
          <w:rFonts w:eastAsia="Tw Cen MT" w:cs="Tw Cen MT"/>
          <w:sz w:val="18"/>
          <w:szCs w:val="18"/>
        </w:rPr>
        <w:t>Guo</w:t>
      </w:r>
      <w:proofErr w:type="spellEnd"/>
      <w:r w:rsidRPr="00FD5912">
        <w:rPr>
          <w:rFonts w:eastAsia="Tw Cen MT" w:cs="Tw Cen MT"/>
          <w:sz w:val="18"/>
          <w:szCs w:val="18"/>
        </w:rPr>
        <w:t xml:space="preserve"> T., Zhang H., 2014. Formation and enrichment mode of </w:t>
      </w:r>
      <w:proofErr w:type="spellStart"/>
      <w:r w:rsidRPr="00FD5912">
        <w:rPr>
          <w:rFonts w:eastAsia="Tw Cen MT" w:cs="Tw Cen MT"/>
          <w:sz w:val="18"/>
          <w:szCs w:val="18"/>
        </w:rPr>
        <w:t>Jiaoshiba</w:t>
      </w:r>
      <w:proofErr w:type="spellEnd"/>
      <w:r w:rsidRPr="00FD5912">
        <w:rPr>
          <w:rFonts w:eastAsia="Tw Cen MT" w:cs="Tw Cen MT"/>
          <w:sz w:val="18"/>
          <w:szCs w:val="18"/>
        </w:rPr>
        <w:t xml:space="preserve"> shale gas field, Sichuan Basin. Petroleum Exploration and Development, v. 41, no. 1, pp. 28-36. (in Chinese with English abstract)</w:t>
      </w:r>
    </w:p>
    <w:p w:rsidR="00B05967" w:rsidRPr="00FD5912" w:rsidRDefault="00B05967" w:rsidP="00FB366D">
      <w:pPr>
        <w:pStyle w:val="a4"/>
        <w:numPr>
          <w:ilvl w:val="0"/>
          <w:numId w:val="3"/>
        </w:numPr>
        <w:tabs>
          <w:tab w:val="left" w:pos="384"/>
        </w:tabs>
        <w:spacing w:before="103" w:line="216" w:lineRule="exact"/>
        <w:ind w:right="138" w:hanging="283"/>
        <w:rPr>
          <w:rFonts w:eastAsia="Tw Cen MT" w:cs="Tw Cen MT"/>
          <w:sz w:val="18"/>
          <w:szCs w:val="18"/>
        </w:rPr>
      </w:pPr>
      <w:r w:rsidRPr="00B05967">
        <w:rPr>
          <w:rFonts w:eastAsia="Tw Cen MT" w:cs="Tw Cen MT"/>
          <w:sz w:val="18"/>
          <w:szCs w:val="18"/>
        </w:rPr>
        <w:t>Tian H</w:t>
      </w:r>
      <w:r w:rsidRPr="00B05967">
        <w:rPr>
          <w:rFonts w:eastAsia="Tw Cen MT" w:cs="Tw Cen MT" w:hint="eastAsia"/>
          <w:sz w:val="18"/>
          <w:szCs w:val="18"/>
        </w:rPr>
        <w:t>.</w:t>
      </w:r>
      <w:r w:rsidRPr="00B05967">
        <w:rPr>
          <w:rFonts w:eastAsia="Tw Cen MT" w:cs="Tw Cen MT"/>
          <w:sz w:val="18"/>
          <w:szCs w:val="18"/>
        </w:rPr>
        <w:t>, Pan L</w:t>
      </w:r>
      <w:r w:rsidRPr="00B05967">
        <w:rPr>
          <w:rFonts w:eastAsia="Tw Cen MT" w:cs="Tw Cen MT" w:hint="eastAsia"/>
          <w:sz w:val="18"/>
          <w:szCs w:val="18"/>
        </w:rPr>
        <w:t>.</w:t>
      </w:r>
      <w:r w:rsidRPr="00B05967">
        <w:rPr>
          <w:rFonts w:eastAsia="Tw Cen MT" w:cs="Tw Cen MT"/>
          <w:sz w:val="18"/>
          <w:szCs w:val="18"/>
        </w:rPr>
        <w:t>, Xiao X</w:t>
      </w:r>
      <w:r w:rsidRPr="00B05967">
        <w:rPr>
          <w:rFonts w:eastAsia="Tw Cen MT" w:cs="Tw Cen MT" w:hint="eastAsia"/>
          <w:sz w:val="18"/>
          <w:szCs w:val="18"/>
        </w:rPr>
        <w:t>.</w:t>
      </w:r>
      <w:r w:rsidRPr="00B05967">
        <w:rPr>
          <w:rFonts w:eastAsia="Tw Cen MT" w:cs="Tw Cen MT"/>
          <w:sz w:val="18"/>
          <w:szCs w:val="18"/>
        </w:rPr>
        <w:t>, Wilkins R</w:t>
      </w:r>
      <w:r w:rsidRPr="00B05967">
        <w:rPr>
          <w:rFonts w:eastAsia="Tw Cen MT" w:cs="Tw Cen MT" w:hint="eastAsia"/>
          <w:sz w:val="18"/>
          <w:szCs w:val="18"/>
        </w:rPr>
        <w:t>.</w:t>
      </w:r>
      <w:r w:rsidRPr="00B05967">
        <w:rPr>
          <w:rFonts w:eastAsia="Tw Cen MT" w:cs="Tw Cen MT"/>
          <w:sz w:val="18"/>
          <w:szCs w:val="18"/>
        </w:rPr>
        <w:t xml:space="preserve"> W.T., </w:t>
      </w:r>
      <w:proofErr w:type="spellStart"/>
      <w:r w:rsidRPr="00B05967">
        <w:rPr>
          <w:rFonts w:eastAsia="Tw Cen MT" w:cs="Tw Cen MT"/>
          <w:sz w:val="18"/>
          <w:szCs w:val="18"/>
        </w:rPr>
        <w:t>Meng</w:t>
      </w:r>
      <w:proofErr w:type="spellEnd"/>
      <w:r w:rsidRPr="00B05967">
        <w:rPr>
          <w:rFonts w:eastAsia="Tw Cen MT" w:cs="Tw Cen MT"/>
          <w:sz w:val="18"/>
          <w:szCs w:val="18"/>
        </w:rPr>
        <w:t xml:space="preserve"> Z</w:t>
      </w:r>
      <w:r w:rsidRPr="00B05967">
        <w:rPr>
          <w:rFonts w:eastAsia="Tw Cen MT" w:cs="Tw Cen MT" w:hint="eastAsia"/>
          <w:sz w:val="18"/>
          <w:szCs w:val="18"/>
        </w:rPr>
        <w:t>.</w:t>
      </w:r>
      <w:r w:rsidRPr="00B05967">
        <w:rPr>
          <w:rFonts w:eastAsia="Tw Cen MT" w:cs="Tw Cen MT"/>
          <w:sz w:val="18"/>
          <w:szCs w:val="18"/>
        </w:rPr>
        <w:t>,</w:t>
      </w:r>
      <w:r w:rsidRPr="00B05967">
        <w:rPr>
          <w:rFonts w:eastAsia="Tw Cen MT" w:cs="Tw Cen MT" w:hint="eastAsia"/>
          <w:sz w:val="18"/>
          <w:szCs w:val="18"/>
        </w:rPr>
        <w:t xml:space="preserve"> </w:t>
      </w:r>
      <w:r w:rsidRPr="00B05967">
        <w:rPr>
          <w:rFonts w:eastAsia="Tw Cen MT" w:cs="Tw Cen MT"/>
          <w:sz w:val="18"/>
          <w:szCs w:val="18"/>
        </w:rPr>
        <w:t>Huang B</w:t>
      </w:r>
      <w:r w:rsidRPr="00B05967">
        <w:rPr>
          <w:rFonts w:eastAsia="Tw Cen MT" w:cs="Tw Cen MT" w:hint="eastAsia"/>
          <w:sz w:val="18"/>
          <w:szCs w:val="18"/>
        </w:rPr>
        <w:t xml:space="preserve">., 2013. </w:t>
      </w:r>
      <w:r w:rsidRPr="00B05967">
        <w:rPr>
          <w:rFonts w:eastAsia="Tw Cen MT" w:cs="Tw Cen MT"/>
          <w:sz w:val="18"/>
          <w:szCs w:val="18"/>
        </w:rPr>
        <w:t>A preliminary study on the pore characterization of Lower Silurian</w:t>
      </w:r>
      <w:r w:rsidRPr="00B05967">
        <w:rPr>
          <w:rFonts w:eastAsia="Tw Cen MT" w:cs="Tw Cen MT" w:hint="eastAsia"/>
          <w:sz w:val="18"/>
          <w:szCs w:val="18"/>
        </w:rPr>
        <w:t xml:space="preserve"> </w:t>
      </w:r>
      <w:r w:rsidRPr="00B05967">
        <w:rPr>
          <w:rFonts w:eastAsia="Tw Cen MT" w:cs="Tw Cen MT"/>
          <w:sz w:val="18"/>
          <w:szCs w:val="18"/>
        </w:rPr>
        <w:t xml:space="preserve">black shales in the </w:t>
      </w:r>
      <w:proofErr w:type="spellStart"/>
      <w:r w:rsidRPr="00B05967">
        <w:rPr>
          <w:rFonts w:eastAsia="Tw Cen MT" w:cs="Tw Cen MT"/>
          <w:sz w:val="18"/>
          <w:szCs w:val="18"/>
        </w:rPr>
        <w:t>Chuandong</w:t>
      </w:r>
      <w:proofErr w:type="spellEnd"/>
      <w:r w:rsidRPr="00B05967">
        <w:rPr>
          <w:rFonts w:eastAsia="Tw Cen MT" w:cs="Tw Cen MT"/>
          <w:sz w:val="18"/>
          <w:szCs w:val="18"/>
        </w:rPr>
        <w:t xml:space="preserve"> Thrust Fold Belt, southwestern China</w:t>
      </w:r>
      <w:r w:rsidRPr="00B05967">
        <w:rPr>
          <w:rFonts w:eastAsia="Tw Cen MT" w:cs="Tw Cen MT" w:hint="eastAsia"/>
          <w:sz w:val="18"/>
          <w:szCs w:val="18"/>
        </w:rPr>
        <w:t xml:space="preserve"> </w:t>
      </w:r>
      <w:r w:rsidRPr="00B05967">
        <w:rPr>
          <w:rFonts w:eastAsia="Tw Cen MT" w:cs="Tw Cen MT"/>
          <w:sz w:val="18"/>
          <w:szCs w:val="18"/>
        </w:rPr>
        <w:t>using low pressure N2 adsorption and FE-SEM methods</w:t>
      </w:r>
      <w:r w:rsidRPr="00B05967">
        <w:rPr>
          <w:rFonts w:eastAsia="Tw Cen MT" w:cs="Tw Cen MT" w:hint="eastAsia"/>
          <w:sz w:val="18"/>
          <w:szCs w:val="18"/>
        </w:rPr>
        <w:t xml:space="preserve">. </w:t>
      </w:r>
      <w:r w:rsidRPr="00B05967">
        <w:rPr>
          <w:rFonts w:eastAsia="Tw Cen MT" w:cs="Tw Cen MT"/>
          <w:sz w:val="18"/>
          <w:szCs w:val="18"/>
        </w:rPr>
        <w:t>Marine and Petroleum Geology</w:t>
      </w:r>
      <w:r w:rsidRPr="00B05967">
        <w:rPr>
          <w:rFonts w:eastAsia="Tw Cen MT" w:cs="Tw Cen MT" w:hint="eastAsia"/>
          <w:sz w:val="18"/>
          <w:szCs w:val="18"/>
        </w:rPr>
        <w:t>,</w:t>
      </w:r>
      <w:r w:rsidRPr="00B05967">
        <w:rPr>
          <w:rFonts w:eastAsia="Tw Cen MT" w:cs="Tw Cen MT"/>
          <w:sz w:val="18"/>
          <w:szCs w:val="18"/>
        </w:rPr>
        <w:t xml:space="preserve"> </w:t>
      </w:r>
      <w:r w:rsidRPr="00B05967">
        <w:rPr>
          <w:rFonts w:eastAsia="Tw Cen MT" w:cs="Tw Cen MT" w:hint="eastAsia"/>
          <w:sz w:val="18"/>
          <w:szCs w:val="18"/>
        </w:rPr>
        <w:t xml:space="preserve">v. </w:t>
      </w:r>
      <w:r w:rsidRPr="00B05967">
        <w:rPr>
          <w:rFonts w:eastAsia="Tw Cen MT" w:cs="Tw Cen MT"/>
          <w:sz w:val="18"/>
          <w:szCs w:val="18"/>
        </w:rPr>
        <w:t>48</w:t>
      </w:r>
      <w:r w:rsidRPr="00B05967">
        <w:rPr>
          <w:rFonts w:eastAsia="Tw Cen MT" w:cs="Tw Cen MT" w:hint="eastAsia"/>
          <w:sz w:val="18"/>
          <w:szCs w:val="18"/>
        </w:rPr>
        <w:t>, pp.</w:t>
      </w:r>
      <w:r w:rsidRPr="00B05967">
        <w:rPr>
          <w:rFonts w:eastAsia="Tw Cen MT" w:cs="Tw Cen MT"/>
          <w:sz w:val="18"/>
          <w:szCs w:val="18"/>
        </w:rPr>
        <w:t xml:space="preserve"> 8</w:t>
      </w:r>
      <w:r w:rsidRPr="00B05967">
        <w:rPr>
          <w:rFonts w:eastAsia="Tw Cen MT" w:cs="Tw Cen MT" w:hint="eastAsia"/>
          <w:sz w:val="18"/>
          <w:szCs w:val="18"/>
        </w:rPr>
        <w:t>-</w:t>
      </w:r>
      <w:r w:rsidRPr="00B05967">
        <w:rPr>
          <w:rFonts w:eastAsia="Tw Cen MT" w:cs="Tw Cen MT"/>
          <w:sz w:val="18"/>
          <w:szCs w:val="18"/>
        </w:rPr>
        <w:t>19</w:t>
      </w:r>
      <w:r w:rsidRPr="00B05967">
        <w:rPr>
          <w:rFonts w:eastAsia="Tw Cen MT" w:cs="Tw Cen MT" w:hint="eastAsia"/>
          <w:sz w:val="18"/>
          <w:szCs w:val="18"/>
        </w:rPr>
        <w:t>.</w:t>
      </w:r>
      <w:r w:rsidRPr="00B05967">
        <w:rPr>
          <w:rFonts w:eastAsia="Tw Cen MT" w:cs="Tw Cen MT"/>
          <w:sz w:val="18"/>
          <w:szCs w:val="18"/>
        </w:rPr>
        <w:t xml:space="preserve"> http://dx.doi.org/10.1016/j.marpetgeo.2013.07.008</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9E8D8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eastAsia="zh-C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5928563</wp:posOffset>
                </wp:positionH>
                <wp:positionV relativeFrom="paragraph">
                  <wp:posOffset>17406</wp:posOffset>
                </wp:positionV>
                <wp:extent cx="730472" cy="658368"/>
                <wp:effectExtent l="19050" t="19050" r="12700" b="2794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472" cy="658368"/>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62732A" w:rsidP="00A52075">
                            <w:pPr>
                              <w:rPr>
                                <w:b/>
                                <w:color w:val="0000FF"/>
                                <w:lang w:val="en-IN"/>
                              </w:rPr>
                            </w:pPr>
                            <w:r w:rsidRPr="0062732A">
                              <w:rPr>
                                <w:b/>
                                <w:noProof/>
                                <w:color w:val="0000FF"/>
                                <w:lang w:eastAsia="zh-CN"/>
                              </w:rPr>
                              <w:drawing>
                                <wp:inline distT="0" distB="0" distL="0" distR="0" wp14:anchorId="6E33D91F" wp14:editId="376C0683">
                                  <wp:extent cx="468630" cy="469900"/>
                                  <wp:effectExtent l="0" t="0" r="7620" b="6350"/>
                                  <wp:docPr id="4" name="Picture 2" descr="C:\Documents and Settings\Administrator.BC3891B66DFF45C\桌面\19197898_17072055100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Documents and Settings\Administrator.BC3891B66DFF45C\桌面\19197898_170720551000_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630" cy="469900"/>
                                          </a:xfrm>
                                          <a:prstGeom prst="rect">
                                            <a:avLst/>
                                          </a:prstGeom>
                                          <a:noFill/>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66.8pt;margin-top:1.35pt;width:57.5pt;height:5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FiP2AIAAMEFAAAOAAAAZHJzL2Uyb0RvYy54bWysVN9v0zAQfkfif7D83iXpr7TR0qntWoQ0&#10;YNpAPLux0xgcO9hu04H43zlfs9JtPCBEIkW++Hz+vrvv7vLqUCuyF9ZJo3OaXMSUCF0YLvU2p58+&#10;rnsTSpxnmjNltMjpg3D0avb61WXbZKJvKqO4sASCaJe1TU4r75ssilxRiZq5C9MIDZulsTXzYNpt&#10;xC1rIXqton4cj6PWWN5YUwjn4O/1cZPOMH5ZisJ/KEsnPFE5BWwevxa/m/CNZpcs21rWVLLoYLB/&#10;QFEzqeHSU6hr5hnZWfkiVC0La5wp/UVh6siUpSwEcgA2SfyMzX3FGoFcIDmuOaXJ/b+wxfv9rSWS&#10;57RPiWY1lOjO7DQXnNxB8pjeKkH6IU1t4zLwvm9ubSDqmhtTfHVEm2UFXmJurWkrwTiAS4J/9ORA&#10;MBwcJZv2neFwC9t5gxk7lLYOASEX5ICFeTgVRhw8KeBnOoiHKQAsYGs8mgzGE7yBZY+HG+v8G2Fq&#10;EhY5tYFCwI83sP2N81gc3lFk/AslZa2g1HumSDIej9MuYuccsewxJrI1SvK1VAoNu90slSVwNKdr&#10;fLrD7txNadLmdJCkoxhhPNl05zGmi8ViNP1TDCSCGg2pXWmOa8+kOq4BptIBk0CtA090gLx1lEMG&#10;UYc/5utRnA4Hk16ajga94WAV9xaT9bI3XwL9dLVYLlbJzwA0GWaV5FzoFcZ0j22RDP9Odl2DHgV9&#10;aowTwIDW7Lyw9xVvCZehXoPRtJ9QMKAz+2kcHkqY2sJIKbylxBr/WfoK+yGI40UVJuPwdhk8RQcR&#10;nmUmWM+5HT0OoI7g2WUNlRvEehS9P2wOkNWg4I3hD6BhgINChbkHi8rY75S0MENy6r7tmBWUqLca&#10;+mCaDIdh6KAxHKV9MOz5zuZ8h+kCQuXUA3VcLv1xUO0aK7cV3JQgcW3m0DulDKVGqEdUnQFzAsl0&#10;My0MonMbvX5P3tkvAAAA//8DAFBLAwQUAAYACAAAACEABPC1BOAAAAAKAQAADwAAAGRycy9kb3du&#10;cmV2LnhtbEyPzU7DMBCE70i8g7VI3KhDW4UQ4lT8qIhSVVUL3LfxkkTE6yh22sDT45zgtrszmv0m&#10;WwymEUfqXG1ZwfUkAkFcWF1zqeD9bXmVgHAeWWNjmRR8k4NFfn6WYartiXd03PtShBB2KSqovG9T&#10;KV1RkUE3sS1x0D5tZ9CHtSul7vAUwk0jp1EUS4M1hw8VtvRYUfG1742COsKP16Xf4hY3/Wq9fnl6&#10;eE5+lLq8GO7vQHga/J8ZRvyADnlgOtietRONgtvZLA5WBdMbEKMezZNwOIxTPAeZZ/J/hfwXAAD/&#10;/wMAUEsBAi0AFAAGAAgAAAAhALaDOJL+AAAA4QEAABMAAAAAAAAAAAAAAAAAAAAAAFtDb250ZW50&#10;X1R5cGVzXS54bWxQSwECLQAUAAYACAAAACEAOP0h/9YAAACUAQAACwAAAAAAAAAAAAAAAAAvAQAA&#10;X3JlbHMvLnJlbHNQSwECLQAUAAYACAAAACEAwWxYj9gCAADBBQAADgAAAAAAAAAAAAAAAAAuAgAA&#10;ZHJzL2Uyb0RvYy54bWxQSwECLQAUAAYACAAAACEABPC1BOAAAAAKAQAADwAAAAAAAAAAAAAAAAAy&#10;BQAAZHJzL2Rvd25yZXYueG1sUEsFBgAAAAAEAAQA8wAAAD8GAAAAAA==&#10;" strokecolor="#9bbb59" strokeweight="2.5pt">
                <v:shadow color="#868686"/>
                <v:textbox>
                  <w:txbxContent>
                    <w:p w:rsidR="00A52075" w:rsidRDefault="0062732A" w:rsidP="00A52075">
                      <w:pPr>
                        <w:rPr>
                          <w:b/>
                          <w:color w:val="0000FF"/>
                          <w:lang w:val="en-IN"/>
                        </w:rPr>
                      </w:pPr>
                      <w:r w:rsidRPr="0062732A">
                        <w:rPr>
                          <w:b/>
                          <w:noProof/>
                          <w:color w:val="0000FF"/>
                          <w:lang w:eastAsia="zh-CN"/>
                        </w:rPr>
                        <w:drawing>
                          <wp:inline distT="0" distB="0" distL="0" distR="0" wp14:anchorId="6E33D91F" wp14:editId="376C0683">
                            <wp:extent cx="468630" cy="469900"/>
                            <wp:effectExtent l="0" t="0" r="7620" b="6350"/>
                            <wp:docPr id="4" name="Picture 2" descr="C:\Documents and Settings\Administrator.BC3891B66DFF45C\桌面\19197898_17072055100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Documents and Settings\Administrator.BC3891B66DFF45C\桌面\19197898_170720551000_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630" cy="469900"/>
                                    </a:xfrm>
                                    <a:prstGeom prst="rect">
                                      <a:avLst/>
                                    </a:prstGeom>
                                    <a:noFill/>
                                    <a:extLst/>
                                  </pic:spPr>
                                </pic:pic>
                              </a:graphicData>
                            </a:graphic>
                          </wp:inline>
                        </w:drawing>
                      </w:r>
                    </w:p>
                  </w:txbxContent>
                </v:textbox>
              </v:roundrect>
            </w:pict>
          </mc:Fallback>
        </mc:AlternateContent>
      </w:r>
      <w:r w:rsidR="008756E6">
        <w:rPr>
          <w:noProof/>
        </w:rPr>
        <w:t xml:space="preserve">              </w:t>
      </w:r>
      <w:r w:rsidR="0062732A">
        <w:rPr>
          <w:noProof/>
          <w:lang w:eastAsia="zh-CN"/>
        </w:rPr>
        <w:drawing>
          <wp:inline distT="0" distB="0" distL="0" distR="0" wp14:anchorId="0D62620D" wp14:editId="12583B08">
            <wp:extent cx="481275" cy="646903"/>
            <wp:effectExtent l="0" t="0" r="0"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9612" cy="671551"/>
                    </a:xfrm>
                    <a:prstGeom prst="rect">
                      <a:avLst/>
                    </a:prstGeom>
                  </pic:spPr>
                </pic:pic>
              </a:graphicData>
            </a:graphic>
          </wp:inline>
        </w:drawing>
      </w:r>
      <w:r w:rsidR="005C0CA0">
        <w:rPr>
          <w:noProof/>
        </w:rPr>
        <w:t xml:space="preserve"> </w:t>
      </w:r>
    </w:p>
    <w:p w:rsidR="0062732A" w:rsidRPr="0062732A" w:rsidRDefault="0062732A" w:rsidP="0062732A">
      <w:pPr>
        <w:ind w:firstLineChars="200" w:firstLine="280"/>
        <w:rPr>
          <w:rStyle w:val="fontstyle01"/>
          <w:rFonts w:ascii="Times New Roman" w:eastAsia="宋体" w:hAnsi="Times New Roman" w:cs="Times New Roman"/>
          <w:sz w:val="21"/>
          <w:szCs w:val="21"/>
        </w:rPr>
      </w:pPr>
      <w:proofErr w:type="spellStart"/>
      <w:r w:rsidRPr="00FD5912">
        <w:rPr>
          <w:rFonts w:ascii="Arial"/>
          <w:sz w:val="14"/>
        </w:rPr>
        <w:t>Tingshan</w:t>
      </w:r>
      <w:proofErr w:type="spellEnd"/>
      <w:r w:rsidRPr="00FD5912">
        <w:rPr>
          <w:rFonts w:ascii="Arial"/>
          <w:sz w:val="14"/>
        </w:rPr>
        <w:t xml:space="preserve"> Zhang works as a professor and Ph.D. supervisor at Southwest Petroleum University, Chengdu, Sichuan </w:t>
      </w:r>
      <w:proofErr w:type="spellStart"/>
      <w:r w:rsidRPr="00FD5912">
        <w:rPr>
          <w:rFonts w:ascii="Arial"/>
          <w:sz w:val="14"/>
        </w:rPr>
        <w:t>province</w:t>
      </w:r>
      <w:proofErr w:type="gramStart"/>
      <w:r w:rsidRPr="00FD5912">
        <w:rPr>
          <w:rFonts w:ascii="Arial"/>
          <w:sz w:val="14"/>
        </w:rPr>
        <w:t>,China</w:t>
      </w:r>
      <w:proofErr w:type="spellEnd"/>
      <w:proofErr w:type="gramEnd"/>
      <w:r w:rsidRPr="00FD5912">
        <w:rPr>
          <w:rFonts w:ascii="Arial"/>
          <w:sz w:val="14"/>
        </w:rPr>
        <w:t xml:space="preserve">. His research interests include </w:t>
      </w:r>
      <w:proofErr w:type="spellStart"/>
      <w:r w:rsidRPr="00FD5912">
        <w:rPr>
          <w:rFonts w:ascii="Arial"/>
          <w:sz w:val="14"/>
        </w:rPr>
        <w:t>paleobiology</w:t>
      </w:r>
      <w:proofErr w:type="spellEnd"/>
      <w:r w:rsidRPr="00FD5912">
        <w:rPr>
          <w:rFonts w:ascii="Arial"/>
          <w:sz w:val="14"/>
        </w:rPr>
        <w:t>, microbial geology, and unconventional oil and gas reservoirs. He earned his bachelor</w:t>
      </w:r>
      <w:r w:rsidRPr="00FD5912">
        <w:rPr>
          <w:rFonts w:ascii="Arial"/>
          <w:sz w:val="14"/>
        </w:rPr>
        <w:t>’</w:t>
      </w:r>
      <w:r w:rsidRPr="00FD5912">
        <w:rPr>
          <w:rFonts w:ascii="Arial"/>
          <w:sz w:val="14"/>
        </w:rPr>
        <w:t xml:space="preserve">s degree and doctorate of science from the Department of </w:t>
      </w:r>
      <w:proofErr w:type="spellStart"/>
      <w:r w:rsidRPr="00FD5912">
        <w:rPr>
          <w:rFonts w:ascii="Arial"/>
          <w:sz w:val="14"/>
        </w:rPr>
        <w:t>Geology</w:t>
      </w:r>
      <w:proofErr w:type="gramStart"/>
      <w:r w:rsidRPr="00FD5912">
        <w:rPr>
          <w:rFonts w:ascii="Arial"/>
          <w:sz w:val="14"/>
        </w:rPr>
        <w:t>,Nanjing</w:t>
      </w:r>
      <w:proofErr w:type="spellEnd"/>
      <w:proofErr w:type="gramEnd"/>
      <w:r w:rsidRPr="00FD5912">
        <w:rPr>
          <w:rFonts w:ascii="Arial"/>
          <w:sz w:val="14"/>
        </w:rPr>
        <w:t xml:space="preserve"> University, Nanjing, China, in 1982 and 1997, respectively.</w:t>
      </w:r>
    </w:p>
    <w:p w:rsidR="00AE3E37" w:rsidRDefault="00A9710C">
      <w:pPr>
        <w:spacing w:before="62"/>
        <w:ind w:left="4217" w:right="4235"/>
        <w:jc w:val="center"/>
        <w:rPr>
          <w:rFonts w:ascii="Arial"/>
          <w:sz w:val="14"/>
        </w:rPr>
      </w:pPr>
      <w:r>
        <w:rPr>
          <w:rFonts w:ascii="Arial"/>
          <w:sz w:val="14"/>
        </w:rPr>
        <w:t xml:space="preserve">Email: </w:t>
      </w:r>
      <w:hyperlink r:id="rId10" w:history="1">
        <w:r w:rsidR="00E044EB" w:rsidRPr="00AC745A">
          <w:rPr>
            <w:rStyle w:val="a8"/>
            <w:rFonts w:ascii="Arial"/>
            <w:sz w:val="14"/>
          </w:rPr>
          <w:t>zts_</w:t>
        </w:r>
        <w:r w:rsidR="00E044EB" w:rsidRPr="00AC745A">
          <w:rPr>
            <w:rStyle w:val="a8"/>
            <w:rFonts w:ascii="Arial" w:hint="eastAsia"/>
            <w:sz w:val="14"/>
          </w:rPr>
          <w:t>3@</w:t>
        </w:r>
        <w:r w:rsidR="00E044EB" w:rsidRPr="00AC745A">
          <w:rPr>
            <w:rStyle w:val="a8"/>
            <w:rFonts w:ascii="Arial"/>
            <w:sz w:val="14"/>
          </w:rPr>
          <w:t>126.com</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992B5"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2238B5" w:rsidRDefault="002238B5">
      <w:pPr>
        <w:spacing w:before="39"/>
        <w:ind w:left="100"/>
        <w:rPr>
          <w:rFonts w:ascii="Minion Pro"/>
          <w:b/>
          <w:sz w:val="20"/>
        </w:rPr>
      </w:pPr>
    </w:p>
    <w:p w:rsidR="002238B5" w:rsidRDefault="002238B5">
      <w:pPr>
        <w:spacing w:before="39"/>
        <w:ind w:left="100"/>
        <w:rPr>
          <w:rFonts w:ascii="Minion Pro"/>
          <w:b/>
          <w:sz w:val="20"/>
        </w:rPr>
      </w:pPr>
    </w:p>
    <w:p w:rsidR="002238B5" w:rsidRDefault="002238B5">
      <w:pPr>
        <w:spacing w:before="39"/>
        <w:ind w:left="100"/>
        <w:rPr>
          <w:rFonts w:ascii="Minion Pro"/>
          <w:b/>
          <w:sz w:val="20"/>
        </w:rPr>
      </w:pPr>
    </w:p>
    <w:p w:rsidR="002238B5" w:rsidRDefault="002238B5">
      <w:pPr>
        <w:spacing w:before="39"/>
        <w:ind w:left="100"/>
        <w:rPr>
          <w:rFonts w:ascii="Minion Pro"/>
          <w:b/>
          <w:sz w:val="20"/>
        </w:rPr>
      </w:pPr>
    </w:p>
    <w:p w:rsidR="002238B5" w:rsidRDefault="002238B5">
      <w:pPr>
        <w:spacing w:before="39"/>
        <w:ind w:left="100"/>
        <w:rPr>
          <w:rFonts w:ascii="Minion Pro"/>
          <w:b/>
          <w:sz w:val="20"/>
        </w:rPr>
      </w:pPr>
    </w:p>
    <w:sectPr w:rsidR="002238B5" w:rsidSect="00BA549F">
      <w:type w:val="continuous"/>
      <w:pgSz w:w="11910" w:h="16840"/>
      <w:pgMar w:top="995"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347" w:rsidRDefault="00E42347">
      <w:r>
        <w:separator/>
      </w:r>
    </w:p>
  </w:endnote>
  <w:endnote w:type="continuationSeparator" w:id="0">
    <w:p w:rsidR="00E42347" w:rsidRDefault="00E42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TTb2708d30">
    <w:altName w:val="Times New Roman"/>
    <w:panose1 w:val="00000000000000000000"/>
    <w:charset w:val="00"/>
    <w:family w:val="roman"/>
    <w:notTrueType/>
    <w:pitch w:val="default"/>
  </w:font>
  <w:font w:name="AdvTT5843c571">
    <w:altName w:val="Times New Roman"/>
    <w:panose1 w:val="00000000000000000000"/>
    <w:charset w:val="00"/>
    <w:family w:val="roman"/>
    <w:notTrueType/>
    <w:pitch w:val="default"/>
  </w:font>
  <w:font w:name="微软雅黑">
    <w:panose1 w:val="020B0503020204020204"/>
    <w:charset w:val="86"/>
    <w:family w:val="swiss"/>
    <w:pitch w:val="variable"/>
    <w:sig w:usb0="80000287" w:usb1="28CF3C52" w:usb2="00000016" w:usb3="00000000" w:csb0="0004001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347" w:rsidRDefault="00E42347">
      <w:r>
        <w:separator/>
      </w:r>
    </w:p>
  </w:footnote>
  <w:footnote w:type="continuationSeparator" w:id="0">
    <w:p w:rsidR="00E42347" w:rsidRDefault="00E423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8136F3"/>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7"/>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4C77"/>
    <w:rsid w:val="000E2911"/>
    <w:rsid w:val="001263DF"/>
    <w:rsid w:val="001B2B82"/>
    <w:rsid w:val="002238B5"/>
    <w:rsid w:val="00292ED9"/>
    <w:rsid w:val="00320F92"/>
    <w:rsid w:val="00351D9B"/>
    <w:rsid w:val="00380299"/>
    <w:rsid w:val="00404E5B"/>
    <w:rsid w:val="00414F7B"/>
    <w:rsid w:val="004355DC"/>
    <w:rsid w:val="004749B4"/>
    <w:rsid w:val="00494130"/>
    <w:rsid w:val="004B73AC"/>
    <w:rsid w:val="004F3523"/>
    <w:rsid w:val="00517EF0"/>
    <w:rsid w:val="0057468D"/>
    <w:rsid w:val="005973B9"/>
    <w:rsid w:val="005B3A56"/>
    <w:rsid w:val="005C0CA0"/>
    <w:rsid w:val="006060CE"/>
    <w:rsid w:val="0061505C"/>
    <w:rsid w:val="0062732A"/>
    <w:rsid w:val="0063497F"/>
    <w:rsid w:val="00714354"/>
    <w:rsid w:val="007A49BE"/>
    <w:rsid w:val="00873DF0"/>
    <w:rsid w:val="008756E6"/>
    <w:rsid w:val="00897EC5"/>
    <w:rsid w:val="008E5477"/>
    <w:rsid w:val="009B2D44"/>
    <w:rsid w:val="00A07E82"/>
    <w:rsid w:val="00A52075"/>
    <w:rsid w:val="00A9710C"/>
    <w:rsid w:val="00AC3315"/>
    <w:rsid w:val="00AE3E37"/>
    <w:rsid w:val="00B05967"/>
    <w:rsid w:val="00B21A57"/>
    <w:rsid w:val="00BA549F"/>
    <w:rsid w:val="00C33602"/>
    <w:rsid w:val="00C56C74"/>
    <w:rsid w:val="00CA296B"/>
    <w:rsid w:val="00CD6F55"/>
    <w:rsid w:val="00D908C9"/>
    <w:rsid w:val="00DE3104"/>
    <w:rsid w:val="00DE6170"/>
    <w:rsid w:val="00E044EB"/>
    <w:rsid w:val="00E30AAC"/>
    <w:rsid w:val="00E42347"/>
    <w:rsid w:val="00E95D97"/>
    <w:rsid w:val="00F046EA"/>
    <w:rsid w:val="00F72EEA"/>
    <w:rsid w:val="00F84CAE"/>
    <w:rsid w:val="00FA41DE"/>
    <w:rsid w:val="00FB366D"/>
    <w:rsid w:val="00FD59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4097"/>
    <o:shapelayout v:ext="edit">
      <o:idmap v:ext="edit" data="1"/>
    </o:shapelayout>
  </w:shapeDefaults>
  <w:decimalSymbol w:val="."/>
  <w:listSeparator w:val=","/>
  <w15:docId w15:val="{ACA0EB64-D74E-4667-B2D9-8E3A8E1F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customStyle="1" w:styleId="fontstyle01">
    <w:name w:val="fontstyle01"/>
    <w:basedOn w:val="a0"/>
    <w:rsid w:val="0062732A"/>
    <w:rPr>
      <w:rFonts w:ascii="AdvTTb2708d30" w:hAnsi="AdvTTb2708d30" w:hint="default"/>
      <w:b w:val="0"/>
      <w:bCs w:val="0"/>
      <w:i w:val="0"/>
      <w:iCs w:val="0"/>
      <w:color w:val="231F20"/>
      <w:sz w:val="38"/>
      <w:szCs w:val="38"/>
    </w:rPr>
  </w:style>
  <w:style w:type="character" w:customStyle="1" w:styleId="fontstyle21">
    <w:name w:val="fontstyle21"/>
    <w:basedOn w:val="a0"/>
    <w:rsid w:val="0062732A"/>
    <w:rPr>
      <w:rFonts w:ascii="AdvTT5843c571" w:hAnsi="AdvTT5843c571" w:hint="default"/>
      <w:b w:val="0"/>
      <w:bCs w:val="0"/>
      <w:i w:val="0"/>
      <w:iCs w:val="0"/>
      <w:color w:val="231F2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zts_3@126.com"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张廷山</cp:lastModifiedBy>
  <cp:revision>10</cp:revision>
  <dcterms:created xsi:type="dcterms:W3CDTF">2017-10-24T07:17:00Z</dcterms:created>
  <dcterms:modified xsi:type="dcterms:W3CDTF">2017-10-25T13:05:00Z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