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79" w:rsidRDefault="008F4636">
      <w:pPr>
        <w:pStyle w:val="1"/>
        <w:tabs>
          <w:tab w:val="left" w:pos="1037"/>
        </w:tabs>
        <w:spacing w:before="170"/>
        <w:ind w:left="0"/>
        <w:rPr>
          <w:color w:val="337AB7"/>
        </w:rPr>
      </w:pPr>
      <w:r>
        <w:rPr>
          <w:color w:val="337AB7"/>
        </w:rPr>
        <w:t>Does dissolution play an important role in the enhancement of</w:t>
      </w:r>
    </w:p>
    <w:p w:rsidR="006C2E79" w:rsidRDefault="008F4636">
      <w:pPr>
        <w:pStyle w:val="1"/>
        <w:tabs>
          <w:tab w:val="left" w:pos="1037"/>
        </w:tabs>
        <w:spacing w:before="170"/>
        <w:ind w:left="0"/>
        <w:rPr>
          <w:color w:val="337AB7"/>
        </w:rPr>
      </w:pPr>
      <w:proofErr w:type="gramStart"/>
      <w:r>
        <w:rPr>
          <w:rFonts w:eastAsia="宋体" w:hint="eastAsia"/>
          <w:color w:val="337AB7"/>
          <w:lang w:eastAsia="zh-CN"/>
        </w:rPr>
        <w:t>p</w:t>
      </w:r>
      <w:r>
        <w:rPr>
          <w:color w:val="337AB7"/>
        </w:rPr>
        <w:t>orosity</w:t>
      </w:r>
      <w:proofErr w:type="gramEnd"/>
      <w:r>
        <w:rPr>
          <w:rFonts w:eastAsia="宋体" w:hint="eastAsia"/>
          <w:color w:val="337AB7"/>
          <w:lang w:eastAsia="zh-CN"/>
        </w:rPr>
        <w:t xml:space="preserve"> in tight oil sandstone reservoirs </w:t>
      </w:r>
      <w:r>
        <w:rPr>
          <w:color w:val="337AB7"/>
        </w:rPr>
        <w:t>?</w:t>
      </w:r>
    </w:p>
    <w:p w:rsidR="006C2E79" w:rsidRDefault="008F4636">
      <w:pPr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Yang Li</w:t>
      </w:r>
      <w:r>
        <w:rPr>
          <w:rFonts w:ascii="Times New Roman" w:eastAsia="宋体" w:hAnsi="Times New Roman" w:hint="eastAsia"/>
          <w:sz w:val="24"/>
          <w:szCs w:val="24"/>
          <w:lang w:eastAsia="zh-CN"/>
        </w:rPr>
        <w:t>,PhD,</w:t>
      </w:r>
      <w:r>
        <w:rPr>
          <w:rFonts w:ascii="Times New Roman" w:hAnsi="Times New Roman"/>
          <w:sz w:val="24"/>
          <w:szCs w:val="24"/>
          <w:lang w:val="de-DE"/>
        </w:rPr>
        <w:t>Beijing Normal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>University ,  China</w:t>
      </w:r>
    </w:p>
    <w:p w:rsidR="006C2E79" w:rsidRDefault="008F4636">
      <w:pPr>
        <w:rPr>
          <w:rFonts w:ascii="Times New Roman" w:hAnsi="Times New Roman"/>
          <w:sz w:val="24"/>
          <w:szCs w:val="24"/>
          <w:lang w:eastAsia="zh-CN"/>
        </w:rPr>
      </w:pPr>
      <w:proofErr w:type="spellStart"/>
      <w:r>
        <w:rPr>
          <w:rFonts w:ascii="Times New Roman" w:hAnsi="Times New Roman" w:hint="eastAsia"/>
          <w:sz w:val="24"/>
          <w:szCs w:val="24"/>
          <w:lang w:eastAsia="zh-CN"/>
        </w:rPr>
        <w:t>Jinliang</w:t>
      </w:r>
      <w:proofErr w:type="spellEnd"/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  <w:lang w:eastAsia="zh-CN"/>
        </w:rPr>
        <w:t>Zhang</w:t>
      </w:r>
      <w:proofErr w:type="gramStart"/>
      <w:r>
        <w:rPr>
          <w:rFonts w:ascii="Times New Roman" w:hAnsi="Times New Roman" w:hint="eastAsia"/>
          <w:sz w:val="24"/>
          <w:szCs w:val="24"/>
          <w:lang w:eastAsia="zh-CN"/>
        </w:rPr>
        <w:t>,PhD</w:t>
      </w:r>
      <w:proofErr w:type="spellEnd"/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>
        <w:rPr>
          <w:rFonts w:ascii="Times New Roman" w:hAnsi="Times New Roman"/>
          <w:sz w:val="24"/>
          <w:szCs w:val="24"/>
          <w:lang w:val="de-DE"/>
        </w:rPr>
        <w:t>Beijing</w:t>
      </w:r>
      <w:proofErr w:type="gramEnd"/>
      <w:r>
        <w:rPr>
          <w:rFonts w:ascii="Times New Roman" w:hAnsi="Times New Roman"/>
          <w:sz w:val="24"/>
          <w:szCs w:val="24"/>
          <w:lang w:val="de-DE"/>
        </w:rPr>
        <w:t xml:space="preserve"> Normal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>University ,  China</w:t>
      </w:r>
    </w:p>
    <w:p w:rsidR="006C2E79" w:rsidRPr="00B22B65" w:rsidRDefault="006C2E79">
      <w:pPr>
        <w:rPr>
          <w:rFonts w:ascii="Arial" w:eastAsiaTheme="minorEastAsia" w:hint="eastAsia"/>
          <w:sz w:val="21"/>
          <w:lang w:eastAsia="zh-CN"/>
        </w:rPr>
        <w:sectPr w:rsidR="006C2E79" w:rsidRPr="00B22B6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6C2E79" w:rsidRDefault="008F4636">
      <w:pPr>
        <w:pStyle w:val="3"/>
        <w:spacing w:before="147"/>
        <w:jc w:val="both"/>
      </w:pPr>
      <w:r>
        <w:rPr>
          <w:color w:val="BF5A14"/>
        </w:rPr>
        <w:lastRenderedPageBreak/>
        <w:t xml:space="preserve">Abstract </w:t>
      </w:r>
    </w:p>
    <w:p w:rsidR="006C2E79" w:rsidRDefault="008F4636">
      <w:pPr>
        <w:pStyle w:val="3"/>
        <w:spacing w:before="74"/>
        <w:rPr>
          <w:rFonts w:ascii="AdvOT863180fb" w:eastAsia="宋体" w:hAnsi="AdvOT863180fb"/>
          <w:sz w:val="21"/>
          <w:szCs w:val="32"/>
          <w:lang w:eastAsia="zh-CN"/>
        </w:rPr>
      </w:pPr>
      <w:r>
        <w:t xml:space="preserve"> </w:t>
      </w:r>
      <w:r>
        <w:rPr>
          <w:rFonts w:ascii="AdvOT863180fb" w:eastAsia="AdvOT863180fb" w:hAnsi="AdvOT863180fb"/>
          <w:sz w:val="21"/>
          <w:szCs w:val="32"/>
        </w:rPr>
        <w:t xml:space="preserve">Some scholars believe that when acidic </w:t>
      </w:r>
      <w:r>
        <w:rPr>
          <w:rFonts w:ascii="AdvOT863180fb" w:eastAsia="AdvOT863180fb" w:hAnsi="AdvOT863180fb" w:hint="eastAsia"/>
          <w:sz w:val="21"/>
          <w:szCs w:val="32"/>
          <w:lang w:eastAsia="zh-CN"/>
        </w:rPr>
        <w:t>fluids</w:t>
      </w:r>
      <w:r>
        <w:rPr>
          <w:rFonts w:ascii="AdvOT863180fb" w:eastAsia="AdvOT863180fb" w:hAnsi="AdvOT863180fb"/>
          <w:sz w:val="21"/>
          <w:szCs w:val="32"/>
        </w:rPr>
        <w:t xml:space="preserve"> exist in the</w:t>
      </w:r>
      <w:r>
        <w:rPr>
          <w:rFonts w:ascii="AdvOT863180fb" w:eastAsia="宋体" w:hAnsi="AdvOT863180fb" w:hint="eastAsia"/>
          <w:sz w:val="21"/>
          <w:szCs w:val="32"/>
          <w:lang w:eastAsia="zh-CN"/>
        </w:rPr>
        <w:t xml:space="preserve"> </w:t>
      </w:r>
      <w:r>
        <w:rPr>
          <w:rFonts w:ascii="AdvOT863180fb" w:eastAsia="AdvOT863180fb" w:hAnsi="AdvOT863180fb"/>
          <w:sz w:val="21"/>
          <w:szCs w:val="32"/>
        </w:rPr>
        <w:t xml:space="preserve">reservoir, there will be increased feldspar, rock fragment, and </w:t>
      </w:r>
      <w:proofErr w:type="spellStart"/>
      <w:r>
        <w:rPr>
          <w:rFonts w:ascii="AdvOT863180fb" w:eastAsia="AdvOT863180fb" w:hAnsi="AdvOT863180fb"/>
          <w:sz w:val="21"/>
          <w:szCs w:val="32"/>
        </w:rPr>
        <w:t>laumontite</w:t>
      </w:r>
      <w:proofErr w:type="spellEnd"/>
      <w:r>
        <w:rPr>
          <w:rFonts w:ascii="AdvOT863180fb" w:eastAsia="宋体" w:hAnsi="AdvOT863180fb" w:hint="eastAsia"/>
          <w:sz w:val="21"/>
          <w:szCs w:val="32"/>
          <w:lang w:eastAsia="zh-CN"/>
        </w:rPr>
        <w:t xml:space="preserve"> </w:t>
      </w:r>
      <w:r>
        <w:rPr>
          <w:rFonts w:ascii="AdvOT863180fb" w:eastAsia="AdvOT863180fb" w:hAnsi="AdvOT863180fb"/>
          <w:sz w:val="21"/>
          <w:szCs w:val="32"/>
        </w:rPr>
        <w:t>dissolution, which improves reservoir</w:t>
      </w:r>
      <w:r>
        <w:rPr>
          <w:rFonts w:ascii="AdvOT863180fb" w:eastAsia="宋体" w:hAnsi="AdvOT863180fb" w:hint="eastAsia"/>
          <w:sz w:val="21"/>
          <w:szCs w:val="32"/>
          <w:lang w:eastAsia="zh-CN"/>
        </w:rPr>
        <w:t xml:space="preserve"> </w:t>
      </w:r>
      <w:proofErr w:type="spellStart"/>
      <w:r>
        <w:rPr>
          <w:rFonts w:ascii="AdvOT863180fb" w:eastAsia="AdvOT863180fb" w:hAnsi="AdvOT863180fb"/>
          <w:sz w:val="21"/>
          <w:szCs w:val="32"/>
        </w:rPr>
        <w:t>quality</w:t>
      </w:r>
      <w:r>
        <w:rPr>
          <w:rFonts w:ascii="AdvOT863180fb" w:eastAsia="宋体" w:hAnsi="AdvOT863180fb" w:hint="eastAsia"/>
          <w:sz w:val="21"/>
          <w:szCs w:val="32"/>
          <w:lang w:eastAsia="zh-CN"/>
        </w:rPr>
        <w:t>.The</w:t>
      </w:r>
      <w:proofErr w:type="spellEnd"/>
      <w:r>
        <w:rPr>
          <w:rFonts w:ascii="AdvOT863180fb" w:eastAsia="宋体" w:hAnsi="AdvOT863180fb" w:hint="eastAsia"/>
          <w:sz w:val="21"/>
          <w:szCs w:val="32"/>
          <w:lang w:eastAsia="zh-CN"/>
        </w:rPr>
        <w:t xml:space="preserve"> dissolution products such as </w:t>
      </w:r>
      <w:r>
        <w:rPr>
          <w:rFonts w:ascii="AdvOT863180fb" w:eastAsia="AdvOT863180fb" w:hAnsi="AdvOT863180fb"/>
          <w:sz w:val="21"/>
          <w:szCs w:val="32"/>
        </w:rPr>
        <w:t>kaolinite</w:t>
      </w:r>
      <w:r>
        <w:rPr>
          <w:rFonts w:ascii="AdvOT863180fb" w:eastAsia="宋体" w:hAnsi="AdvOT863180fb" w:hint="eastAsia"/>
          <w:sz w:val="21"/>
          <w:szCs w:val="32"/>
          <w:lang w:eastAsia="zh-CN"/>
        </w:rPr>
        <w:t xml:space="preserve"> and </w:t>
      </w:r>
      <w:proofErr w:type="spellStart"/>
      <w:r>
        <w:rPr>
          <w:rFonts w:ascii="AdvOT863180fb" w:eastAsia="宋体" w:hAnsi="AdvOT863180fb" w:hint="eastAsia"/>
          <w:sz w:val="21"/>
          <w:szCs w:val="32"/>
          <w:lang w:eastAsia="zh-CN"/>
        </w:rPr>
        <w:t>illte</w:t>
      </w:r>
      <w:proofErr w:type="spellEnd"/>
      <w:r>
        <w:rPr>
          <w:rFonts w:ascii="AdvOT863180fb" w:eastAsia="宋体" w:hAnsi="AdvOT863180fb" w:hint="eastAsia"/>
          <w:sz w:val="21"/>
          <w:szCs w:val="32"/>
          <w:lang w:eastAsia="zh-CN"/>
        </w:rPr>
        <w:t xml:space="preserve"> </w:t>
      </w:r>
      <w:r>
        <w:rPr>
          <w:rFonts w:ascii="AdvOT863180fb" w:eastAsia="AdvOT863180fb" w:hAnsi="AdvOT863180fb"/>
          <w:sz w:val="21"/>
          <w:szCs w:val="32"/>
        </w:rPr>
        <w:t>precipitated</w:t>
      </w:r>
      <w:r>
        <w:rPr>
          <w:rFonts w:ascii="AdvOT863180fb" w:eastAsia="宋体" w:hAnsi="AdvOT863180fb" w:hint="eastAsia"/>
          <w:sz w:val="21"/>
          <w:szCs w:val="32"/>
          <w:lang w:eastAsia="zh-CN"/>
        </w:rPr>
        <w:t xml:space="preserve"> near the second pores can be an evidence of dissolution. However, the </w:t>
      </w:r>
      <w:r>
        <w:rPr>
          <w:rFonts w:ascii="AdvOT863180fb" w:eastAsia="AdvOT863180fb" w:hAnsi="AdvOT863180fb"/>
          <w:sz w:val="21"/>
          <w:szCs w:val="32"/>
        </w:rPr>
        <w:t>precipitat</w:t>
      </w:r>
      <w:r>
        <w:rPr>
          <w:rFonts w:ascii="AdvOT863180fb" w:eastAsia="宋体" w:hAnsi="AdvOT863180fb" w:hint="eastAsia"/>
          <w:sz w:val="21"/>
          <w:szCs w:val="32"/>
          <w:lang w:eastAsia="zh-CN"/>
        </w:rPr>
        <w:t>ion of dissolution</w:t>
      </w:r>
      <w:r>
        <w:rPr>
          <w:rFonts w:ascii="AdvOT863180fb" w:eastAsia="宋体" w:hAnsi="AdvOT863180fb" w:hint="eastAsia"/>
          <w:sz w:val="16"/>
          <w:lang w:eastAsia="zh-CN"/>
        </w:rPr>
        <w:t xml:space="preserve"> </w:t>
      </w:r>
      <w:r>
        <w:rPr>
          <w:rFonts w:ascii="AdvOT863180fb" w:eastAsia="宋体" w:hAnsi="AdvOT863180fb" w:hint="eastAsia"/>
          <w:sz w:val="21"/>
          <w:szCs w:val="32"/>
          <w:lang w:eastAsia="zh-CN"/>
        </w:rPr>
        <w:t xml:space="preserve">products occupied the space of primary pores. Then, how to determine the impacts of dissolution on reservoir quality </w:t>
      </w:r>
      <w:r>
        <w:rPr>
          <w:rFonts w:ascii="AdvOT863180fb" w:eastAsia="AdvOT863180fb" w:hAnsi="AdvOT863180fb"/>
          <w:sz w:val="21"/>
          <w:szCs w:val="32"/>
        </w:rPr>
        <w:t>quantitative</w:t>
      </w:r>
      <w:r>
        <w:rPr>
          <w:rFonts w:ascii="AdvOT863180fb" w:eastAsia="宋体" w:hAnsi="AdvOT863180fb" w:hint="eastAsia"/>
          <w:sz w:val="21"/>
          <w:szCs w:val="32"/>
          <w:lang w:eastAsia="zh-CN"/>
        </w:rPr>
        <w:t xml:space="preserve">ly? </w:t>
      </w:r>
    </w:p>
    <w:p w:rsidR="006C2E79" w:rsidRDefault="008F4636">
      <w:pP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</w:pP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This 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>study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, fully cons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iders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whether the dissolution and precipitation systems are open or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closed based on the reaction equations of feldspar and </w:t>
      </w:r>
      <w:proofErr w:type="spellStart"/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laumontite</w:t>
      </w:r>
      <w:proofErr w:type="spellEnd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under acidic conditions, </w:t>
      </w:r>
    </w:p>
    <w:p w:rsidR="006C2E79" w:rsidRDefault="008F4636">
      <w:pP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</w:pPr>
      <w:proofErr w:type="gramStart"/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and</w:t>
      </w:r>
      <w:proofErr w:type="gramEnd"/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 the locations of products of dissolution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are </w:t>
      </w:r>
      <w:proofErr w:type="spellStart"/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analysed.Quantitative</w:t>
      </w:r>
      <w:proofErr w:type="spellEnd"/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 analysis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shows that Feldspar dissolution in a closed system can only result in a &lt;1% net increase of porosity in the tight oil reservoirs, which produced</w:t>
      </w:r>
    </w:p>
    <w:p w:rsidR="006C2E79" w:rsidRDefault="008F4636">
      <w:pP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</w:pPr>
      <w:proofErr w:type="gramStart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>little</w:t>
      </w:r>
      <w:proofErr w:type="gramEnd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improvement in reservoir quality. It is likely that some of the secondary pores produced by dissolution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reactions were occupied by the products of </w:t>
      </w:r>
      <w:proofErr w:type="spellStart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>dissolution.The</w:t>
      </w:r>
      <w:proofErr w:type="spellEnd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total content of products of dissolution such as kaolinite, </w:t>
      </w:r>
      <w:proofErr w:type="spellStart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>illite</w:t>
      </w:r>
      <w:proofErr w:type="spellEnd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and quartz overgrowth does not have a linear correlation with porosity but has a negative correlation when permeability is less t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han 1 </w:t>
      </w:r>
      <w:proofErr w:type="spellStart"/>
      <w:proofErr w:type="gramStart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>mD</w:t>
      </w:r>
      <w:proofErr w:type="spellEnd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,</w:t>
      </w:r>
      <w:proofErr w:type="gramEnd"/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indicating that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dissolution in a closed system 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may not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 result in a 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>significant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 net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increase of porosity in 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>tight oil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 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sandstones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reservoirs. Instead, due to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the precipitation of the products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lastRenderedPageBreak/>
        <w:t>of dissolution, the primary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</w:t>
      </w:r>
      <w:proofErr w:type="spellStart"/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intergranular</w:t>
      </w:r>
      <w:proofErr w:type="spellEnd"/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 xml:space="preserve"> pores and pore throats were 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>fi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lled, leading to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 xml:space="preserve"> 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the signi</w:t>
      </w:r>
      <w:r>
        <w:rPr>
          <w:rFonts w:ascii="AdvOT863180fb" w:eastAsia="宋体" w:hAnsi="AdvOT863180fb" w:cs="Arial" w:hint="eastAsia"/>
          <w:b/>
          <w:bCs/>
          <w:sz w:val="21"/>
          <w:szCs w:val="32"/>
          <w:lang w:eastAsia="zh-CN"/>
        </w:rPr>
        <w:t>fi</w:t>
      </w:r>
      <w:r>
        <w:rPr>
          <w:rFonts w:ascii="AdvOT863180fb" w:eastAsia="宋体" w:hAnsi="AdvOT863180fb" w:cs="Arial"/>
          <w:b/>
          <w:bCs/>
          <w:sz w:val="21"/>
          <w:szCs w:val="32"/>
          <w:lang w:eastAsia="zh-CN"/>
        </w:rPr>
        <w:t>cant deterioration of permeability.</w:t>
      </w:r>
    </w:p>
    <w:p w:rsidR="00C71ACD" w:rsidRPr="00C71ACD" w:rsidRDefault="008F4636" w:rsidP="00C71ACD">
      <w:pPr>
        <w:pStyle w:val="3"/>
        <w:spacing w:before="74"/>
        <w:ind w:left="0"/>
        <w:rPr>
          <w:rFonts w:eastAsia="宋体" w:hint="eastAsia"/>
          <w:color w:val="BF5A14"/>
          <w:lang w:eastAsia="zh-CN"/>
        </w:rPr>
      </w:pPr>
      <w:r>
        <w:rPr>
          <w:rFonts w:eastAsia="宋体" w:hint="eastAsia"/>
          <w:color w:val="BF5A14"/>
          <w:lang w:eastAsia="zh-CN"/>
        </w:rPr>
        <w:t>Images</w:t>
      </w:r>
    </w:p>
    <w:p w:rsidR="006C2E79" w:rsidRDefault="008F4636">
      <w:pPr>
        <w:rPr>
          <w:lang w:eastAsia="zh-CN"/>
        </w:rPr>
      </w:pPr>
      <w:r>
        <w:rPr>
          <w:rFonts w:ascii="Times New Roman" w:eastAsia="Arial Unicode MS" w:hAnsi="Times New Roman" w:cs="Times New Roman"/>
          <w:b/>
          <w:noProof/>
          <w:szCs w:val="21"/>
          <w:lang w:eastAsia="zh-CN"/>
        </w:rPr>
        <w:drawing>
          <wp:inline distT="0" distB="0" distL="0" distR="0">
            <wp:extent cx="3399790" cy="2581275"/>
            <wp:effectExtent l="0" t="0" r="10160" b="9525"/>
            <wp:docPr id="5" name="图片 5" descr="C:\Users\Administrator\Desktop\MPG修\溶蚀图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Desktop\MPG修\溶蚀图版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979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E79" w:rsidRDefault="008F4636">
      <w:pPr>
        <w:rPr>
          <w:rFonts w:ascii="Times New Roman" w:hAnsi="Times New Roman" w:cs="Times New Roman"/>
          <w:sz w:val="15"/>
          <w:szCs w:val="15"/>
          <w:lang w:eastAsia="zh-CN"/>
        </w:rPr>
      </w:pPr>
      <w:proofErr w:type="gramStart"/>
      <w:r>
        <w:rPr>
          <w:rFonts w:ascii="Times New Roman" w:hAnsi="Times New Roman" w:cs="Times New Roman"/>
          <w:b/>
          <w:bCs/>
          <w:sz w:val="15"/>
          <w:szCs w:val="15"/>
          <w:lang w:eastAsia="zh-CN"/>
        </w:rPr>
        <w:t>Figure 1</w:t>
      </w:r>
      <w:r>
        <w:rPr>
          <w:rFonts w:ascii="Times New Roman" w:hAnsi="Times New Roman" w:cs="Times New Roman"/>
          <w:sz w:val="15"/>
          <w:szCs w:val="15"/>
          <w:lang w:eastAsia="zh-CN"/>
        </w:rPr>
        <w:t>.</w:t>
      </w:r>
      <w:proofErr w:type="gramEnd"/>
      <w:r>
        <w:rPr>
          <w:rFonts w:ascii="Times New Roman" w:hAnsi="Times New Roman" w:cs="Times New Roman"/>
          <w:sz w:val="15"/>
          <w:szCs w:val="15"/>
          <w:lang w:eastAsia="zh-CN"/>
        </w:rPr>
        <w:t xml:space="preserve"> Optical microscopy images showing features of dissolution in </w:t>
      </w:r>
      <w:r>
        <w:rPr>
          <w:rFonts w:ascii="Times New Roman" w:hAnsi="Times New Roman" w:cs="Times New Roman" w:hint="eastAsia"/>
          <w:sz w:val="15"/>
          <w:szCs w:val="15"/>
          <w:lang w:eastAsia="zh-CN"/>
        </w:rPr>
        <w:t>tight oil</w:t>
      </w:r>
      <w:r>
        <w:rPr>
          <w:rFonts w:ascii="Times New Roman" w:hAnsi="Times New Roman" w:cs="Times New Roman"/>
          <w:sz w:val="15"/>
          <w:szCs w:val="15"/>
          <w:lang w:eastAsia="zh-CN"/>
        </w:rPr>
        <w:t xml:space="preserve"> sandstones(A)</w:t>
      </w:r>
      <w:proofErr w:type="spellStart"/>
      <w:r>
        <w:rPr>
          <w:rFonts w:ascii="Times New Roman" w:hAnsi="Times New Roman" w:cs="Times New Roman"/>
          <w:sz w:val="15"/>
          <w:szCs w:val="15"/>
          <w:lang w:eastAsia="zh-CN"/>
        </w:rPr>
        <w:t>intergranular</w:t>
      </w:r>
      <w:proofErr w:type="spellEnd"/>
      <w:r>
        <w:rPr>
          <w:rFonts w:ascii="Times New Roman" w:hAnsi="Times New Roman" w:cs="Times New Roman"/>
          <w:sz w:val="15"/>
          <w:szCs w:val="15"/>
          <w:lang w:eastAsia="zh-CN"/>
        </w:rPr>
        <w:t xml:space="preserve"> pores (P in yellow), plane-pola</w:t>
      </w:r>
      <w:r>
        <w:rPr>
          <w:rFonts w:ascii="Times New Roman" w:hAnsi="Times New Roman" w:cs="Times New Roman"/>
          <w:sz w:val="15"/>
          <w:szCs w:val="15"/>
          <w:lang w:eastAsia="zh-CN"/>
        </w:rPr>
        <w:t>rized light; (B)</w:t>
      </w:r>
      <w:proofErr w:type="spellStart"/>
      <w:r>
        <w:rPr>
          <w:rFonts w:ascii="Times New Roman" w:hAnsi="Times New Roman" w:cs="Times New Roman"/>
          <w:sz w:val="15"/>
          <w:szCs w:val="15"/>
          <w:lang w:eastAsia="zh-CN"/>
        </w:rPr>
        <w:t>intragranular</w:t>
      </w:r>
      <w:proofErr w:type="spellEnd"/>
      <w:r>
        <w:rPr>
          <w:rFonts w:ascii="Times New Roman" w:hAnsi="Times New Roman" w:cs="Times New Roman"/>
          <w:sz w:val="15"/>
          <w:szCs w:val="15"/>
          <w:lang w:eastAsia="zh-CN"/>
        </w:rPr>
        <w:t xml:space="preserve"> pores (P in blue) by dissolution, plane-polarized light; (C) quartz overgrowths located near the </w:t>
      </w:r>
      <w:proofErr w:type="spellStart"/>
      <w:r>
        <w:rPr>
          <w:rFonts w:ascii="Times New Roman" w:hAnsi="Times New Roman" w:cs="Times New Roman"/>
          <w:sz w:val="15"/>
          <w:szCs w:val="15"/>
          <w:lang w:eastAsia="zh-CN"/>
        </w:rPr>
        <w:t>moldic</w:t>
      </w:r>
      <w:proofErr w:type="spellEnd"/>
      <w:r>
        <w:rPr>
          <w:rFonts w:ascii="Times New Roman" w:hAnsi="Times New Roman" w:cs="Times New Roman"/>
          <w:sz w:val="15"/>
          <w:szCs w:val="15"/>
          <w:lang w:eastAsia="zh-CN"/>
        </w:rPr>
        <w:t xml:space="preserve"> pore (P in red) by dissolution, plane-polarized light; (D) </w:t>
      </w:r>
      <w:proofErr w:type="spellStart"/>
      <w:r>
        <w:rPr>
          <w:rFonts w:ascii="Times New Roman" w:hAnsi="Times New Roman" w:cs="Times New Roman"/>
          <w:sz w:val="15"/>
          <w:szCs w:val="15"/>
          <w:lang w:eastAsia="zh-CN"/>
        </w:rPr>
        <w:t>intragranular</w:t>
      </w:r>
      <w:proofErr w:type="spellEnd"/>
      <w:r>
        <w:rPr>
          <w:rFonts w:ascii="Times New Roman" w:hAnsi="Times New Roman" w:cs="Times New Roman"/>
          <w:sz w:val="15"/>
          <w:szCs w:val="15"/>
          <w:lang w:eastAsia="zh-CN"/>
        </w:rPr>
        <w:t xml:space="preserve"> pores (P in blue) by dissolution of feldspar and </w:t>
      </w:r>
      <w:r>
        <w:rPr>
          <w:rFonts w:ascii="Times New Roman" w:hAnsi="Times New Roman" w:cs="Times New Roman"/>
          <w:sz w:val="15"/>
          <w:szCs w:val="15"/>
          <w:lang w:eastAsia="zh-CN"/>
        </w:rPr>
        <w:t xml:space="preserve">kaolinite with </w:t>
      </w:r>
      <w:proofErr w:type="spellStart"/>
      <w:r>
        <w:rPr>
          <w:rFonts w:ascii="Times New Roman" w:hAnsi="Times New Roman" w:cs="Times New Roman"/>
          <w:sz w:val="15"/>
          <w:szCs w:val="15"/>
          <w:lang w:eastAsia="zh-CN"/>
        </w:rPr>
        <w:t>intercrystalline</w:t>
      </w:r>
      <w:proofErr w:type="spellEnd"/>
      <w:r>
        <w:rPr>
          <w:rFonts w:ascii="Times New Roman" w:hAnsi="Times New Roman" w:cs="Times New Roman"/>
          <w:sz w:val="15"/>
          <w:szCs w:val="15"/>
          <w:lang w:eastAsia="zh-CN"/>
        </w:rPr>
        <w:t xml:space="preserve"> pores (P in black)filling the </w:t>
      </w:r>
      <w:proofErr w:type="spellStart"/>
      <w:r>
        <w:rPr>
          <w:rFonts w:ascii="Times New Roman" w:hAnsi="Times New Roman" w:cs="Times New Roman"/>
          <w:sz w:val="15"/>
          <w:szCs w:val="15"/>
          <w:lang w:eastAsia="zh-CN"/>
        </w:rPr>
        <w:t>intergranular</w:t>
      </w:r>
      <w:proofErr w:type="spellEnd"/>
      <w:r>
        <w:rPr>
          <w:rFonts w:ascii="Times New Roman" w:hAnsi="Times New Roman" w:cs="Times New Roman"/>
          <w:sz w:val="15"/>
          <w:szCs w:val="15"/>
          <w:lang w:eastAsia="zh-CN"/>
        </w:rPr>
        <w:t xml:space="preserve"> pore, plane-polarized light.</w:t>
      </w:r>
    </w:p>
    <w:p w:rsidR="006C2E79" w:rsidRDefault="008F4636">
      <w:pPr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114300" distR="114300">
            <wp:extent cx="3387725" cy="1069340"/>
            <wp:effectExtent l="0" t="0" r="3175" b="16510"/>
            <wp:docPr id="4" name="图片 4" descr="粘土与孔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粘土与孔渗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E79" w:rsidRDefault="008F4636">
      <w:pPr>
        <w:rPr>
          <w:rFonts w:ascii="Times New Roman" w:eastAsiaTheme="minorEastAsia" w:hAnsi="Times New Roman" w:cs="Times New Roman" w:hint="eastAsia"/>
          <w:sz w:val="15"/>
          <w:szCs w:val="15"/>
          <w:lang w:eastAsia="zh-CN"/>
        </w:rPr>
      </w:pPr>
      <w:proofErr w:type="gramStart"/>
      <w:r>
        <w:rPr>
          <w:rFonts w:ascii="Times New Roman" w:hAnsi="Times New Roman" w:cs="Times New Roman"/>
          <w:b/>
          <w:bCs/>
          <w:sz w:val="15"/>
          <w:szCs w:val="15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15"/>
          <w:szCs w:val="15"/>
          <w:lang w:eastAsia="zh-CN"/>
        </w:rPr>
        <w:t>2</w:t>
      </w:r>
      <w:r>
        <w:rPr>
          <w:rFonts w:ascii="Times New Roman" w:hAnsi="Times New Roman" w:cs="Times New Roman"/>
          <w:sz w:val="15"/>
          <w:szCs w:val="15"/>
          <w:lang w:eastAsia="zh-CN"/>
        </w:rPr>
        <w:t>.</w:t>
      </w:r>
      <w:proofErr w:type="gramEnd"/>
      <w:r>
        <w:rPr>
          <w:rFonts w:ascii="Times New Roman" w:hAnsi="Times New Roman" w:cs="Times New Roman"/>
          <w:sz w:val="15"/>
          <w:szCs w:val="15"/>
          <w:lang w:eastAsia="zh-CN"/>
        </w:rPr>
        <w:t xml:space="preserve"> Variations in porosity (A) and permeability (B) with contents of clay minerals cements in </w:t>
      </w:r>
      <w:r>
        <w:rPr>
          <w:rFonts w:ascii="Times New Roman" w:hAnsi="Times New Roman" w:cs="Times New Roman" w:hint="eastAsia"/>
          <w:sz w:val="15"/>
          <w:szCs w:val="15"/>
          <w:lang w:eastAsia="zh-CN"/>
        </w:rPr>
        <w:t>tight oil</w:t>
      </w:r>
      <w:r>
        <w:rPr>
          <w:rFonts w:ascii="Times New Roman" w:hAnsi="Times New Roman" w:cs="Times New Roman"/>
          <w:sz w:val="15"/>
          <w:szCs w:val="15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15"/>
          <w:szCs w:val="15"/>
          <w:lang w:eastAsia="zh-CN"/>
        </w:rPr>
        <w:t>sandstones</w:t>
      </w:r>
      <w:r>
        <w:rPr>
          <w:rFonts w:ascii="Times New Roman" w:hAnsi="Times New Roman" w:cs="Times New Roman" w:hint="eastAsia"/>
          <w:sz w:val="15"/>
          <w:szCs w:val="15"/>
          <w:lang w:eastAsia="zh-CN"/>
        </w:rPr>
        <w:t>.Kal+ill+Q</w:t>
      </w:r>
      <w:r>
        <w:rPr>
          <w:rFonts w:ascii="Times New Roman" w:hAnsi="Times New Roman" w:cs="Times New Roman" w:hint="eastAsia"/>
          <w:sz w:val="15"/>
          <w:szCs w:val="15"/>
          <w:vertAlign w:val="subscript"/>
          <w:lang w:eastAsia="zh-CN"/>
        </w:rPr>
        <w:t>O</w:t>
      </w:r>
      <w:proofErr w:type="spellEnd"/>
      <w:r>
        <w:rPr>
          <w:rFonts w:ascii="Times New Roman" w:hAnsi="Times New Roman" w:cs="Times New Roman" w:hint="eastAsia"/>
          <w:sz w:val="15"/>
          <w:szCs w:val="15"/>
          <w:lang w:eastAsia="zh-CN"/>
        </w:rPr>
        <w:t xml:space="preserve">= the total </w:t>
      </w:r>
      <w:r>
        <w:rPr>
          <w:rFonts w:ascii="Times New Roman" w:hAnsi="Times New Roman" w:cs="Times New Roman" w:hint="eastAsia"/>
          <w:sz w:val="15"/>
          <w:szCs w:val="15"/>
          <w:lang w:eastAsia="zh-CN"/>
        </w:rPr>
        <w:t xml:space="preserve">content of kaolinite, </w:t>
      </w:r>
      <w:proofErr w:type="spellStart"/>
      <w:r>
        <w:rPr>
          <w:rFonts w:ascii="Times New Roman" w:hAnsi="Times New Roman" w:cs="Times New Roman" w:hint="eastAsia"/>
          <w:sz w:val="15"/>
          <w:szCs w:val="15"/>
          <w:lang w:eastAsia="zh-CN"/>
        </w:rPr>
        <w:t>illite</w:t>
      </w:r>
      <w:proofErr w:type="spellEnd"/>
      <w:r>
        <w:rPr>
          <w:rFonts w:ascii="Times New Roman" w:hAnsi="Times New Roman" w:cs="Times New Roman" w:hint="eastAsia"/>
          <w:sz w:val="15"/>
          <w:szCs w:val="15"/>
          <w:lang w:eastAsia="zh-CN"/>
        </w:rPr>
        <w:t xml:space="preserve"> and quartz overgrowth.</w:t>
      </w:r>
    </w:p>
    <w:p w:rsidR="00C71ACD" w:rsidRDefault="00C71ACD" w:rsidP="00C71ACD">
      <w:pPr>
        <w:jc w:val="both"/>
        <w:rPr>
          <w:rFonts w:ascii="Times New Roman" w:hAnsi="Times New Roman" w:cs="Times New Roman"/>
          <w:sz w:val="15"/>
          <w:szCs w:val="15"/>
          <w:lang w:eastAsia="zh-CN"/>
        </w:rPr>
      </w:pPr>
      <w:r>
        <w:rPr>
          <w:rFonts w:ascii="Arial"/>
          <w:color w:val="BF5A14"/>
        </w:rPr>
        <w:t xml:space="preserve">Biography </w:t>
      </w:r>
    </w:p>
    <w:p w:rsidR="00C71ACD" w:rsidRPr="00C71ACD" w:rsidRDefault="00C71ACD">
      <w:pPr>
        <w:rPr>
          <w:rFonts w:ascii="Times New Roman" w:eastAsiaTheme="minorEastAsia" w:hAnsi="Times New Roman" w:cs="Times New Roman"/>
          <w:sz w:val="15"/>
          <w:szCs w:val="15"/>
          <w:lang w:eastAsia="zh-CN"/>
        </w:rPr>
      </w:pPr>
    </w:p>
    <w:p w:rsidR="006C2E79" w:rsidRDefault="008F4636" w:rsidP="00B22B65">
      <w:pPr>
        <w:pStyle w:val="a3"/>
        <w:spacing w:before="2"/>
        <w:ind w:right="644"/>
        <w:rPr>
          <w:rFonts w:ascii="Arial" w:eastAsia="宋体"/>
          <w:b/>
          <w:sz w:val="16"/>
          <w:lang w:eastAsia="zh-CN"/>
        </w:rPr>
      </w:pPr>
      <w:r>
        <w:rPr>
          <w:rFonts w:ascii="Arial" w:eastAsia="宋体" w:hint="eastAsia"/>
          <w:b/>
          <w:noProof/>
          <w:sz w:val="16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1270</wp:posOffset>
            </wp:positionV>
            <wp:extent cx="1077595" cy="1437640"/>
            <wp:effectExtent l="0" t="0" r="8255" b="0"/>
            <wp:wrapTight wrapText="bothSides">
              <wp:wrapPolygon edited="0">
                <wp:start x="0" y="0"/>
                <wp:lineTo x="0" y="21180"/>
                <wp:lineTo x="21384" y="21180"/>
                <wp:lineTo x="21384" y="0"/>
                <wp:lineTo x="0" y="0"/>
              </wp:wrapPolygon>
            </wp:wrapTight>
            <wp:docPr id="16" name="图片 16" descr="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30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B65">
        <w:rPr>
          <w:rFonts w:ascii="Arial" w:eastAsia="宋体" w:hint="eastAsia"/>
          <w:b/>
          <w:sz w:val="16"/>
          <w:lang w:eastAsia="zh-CN"/>
        </w:rPr>
        <w:t>Y</w:t>
      </w:r>
      <w:r>
        <w:rPr>
          <w:rFonts w:ascii="Arial" w:eastAsia="宋体" w:hint="eastAsia"/>
          <w:b/>
          <w:sz w:val="16"/>
          <w:lang w:eastAsia="zh-CN"/>
        </w:rPr>
        <w:t xml:space="preserve">ang Li </w:t>
      </w:r>
      <w:r>
        <w:rPr>
          <w:rFonts w:ascii="Arial" w:eastAsia="宋体" w:hint="eastAsia"/>
          <w:b/>
          <w:sz w:val="16"/>
          <w:lang w:eastAsia="zh-CN"/>
        </w:rPr>
        <w:t>has h</w:t>
      </w:r>
      <w:r>
        <w:rPr>
          <w:rFonts w:ascii="Arial" w:eastAsia="宋体" w:hint="eastAsia"/>
          <w:b/>
          <w:sz w:val="16"/>
          <w:lang w:eastAsia="zh-CN"/>
        </w:rPr>
        <w:t>is</w:t>
      </w:r>
      <w:r w:rsidR="00B22B65">
        <w:rPr>
          <w:rFonts w:ascii="Arial" w:eastAsia="宋体" w:hint="eastAsia"/>
          <w:b/>
          <w:sz w:val="16"/>
          <w:lang w:eastAsia="zh-CN"/>
        </w:rPr>
        <w:t xml:space="preserve"> expertise in </w:t>
      </w:r>
      <w:r>
        <w:rPr>
          <w:rFonts w:ascii="Arial" w:eastAsia="宋体" w:hint="eastAsia"/>
          <w:b/>
          <w:sz w:val="16"/>
          <w:lang w:eastAsia="zh-CN"/>
        </w:rPr>
        <w:t>q</w:t>
      </w:r>
      <w:r>
        <w:rPr>
          <w:rFonts w:ascii="Arial" w:eastAsia="宋体" w:hint="eastAsia"/>
          <w:b/>
          <w:sz w:val="16"/>
          <w:lang w:eastAsia="zh-CN"/>
        </w:rPr>
        <w:t xml:space="preserve">uantitative impact of </w:t>
      </w:r>
      <w:proofErr w:type="spellStart"/>
      <w:r>
        <w:rPr>
          <w:rFonts w:ascii="Arial" w:eastAsia="宋体" w:hint="eastAsia"/>
          <w:b/>
          <w:sz w:val="16"/>
          <w:lang w:eastAsia="zh-CN"/>
        </w:rPr>
        <w:t>diagenesis</w:t>
      </w:r>
      <w:proofErr w:type="spellEnd"/>
      <w:r>
        <w:rPr>
          <w:rFonts w:ascii="Arial" w:eastAsia="宋体" w:hint="eastAsia"/>
          <w:b/>
          <w:sz w:val="16"/>
          <w:lang w:eastAsia="zh-CN"/>
        </w:rPr>
        <w:t xml:space="preserve"> on reservoir </w:t>
      </w:r>
      <w:proofErr w:type="gramStart"/>
      <w:r>
        <w:rPr>
          <w:rFonts w:ascii="Arial" w:eastAsia="宋体" w:hint="eastAsia"/>
          <w:b/>
          <w:sz w:val="16"/>
          <w:lang w:eastAsia="zh-CN"/>
        </w:rPr>
        <w:t>quality  and</w:t>
      </w:r>
      <w:proofErr w:type="gramEnd"/>
      <w:r>
        <w:rPr>
          <w:rFonts w:ascii="Arial" w:eastAsia="宋体" w:hint="eastAsia"/>
          <w:b/>
          <w:sz w:val="16"/>
          <w:lang w:eastAsia="zh-CN"/>
        </w:rPr>
        <w:t xml:space="preserve"> sandstone petrology.</w:t>
      </w:r>
    </w:p>
    <w:p w:rsidR="006C2E79" w:rsidRDefault="006C2E79">
      <w:pPr>
        <w:pStyle w:val="a3"/>
        <w:spacing w:before="2"/>
        <w:rPr>
          <w:rFonts w:ascii="Arial" w:eastAsia="宋体"/>
          <w:b/>
          <w:sz w:val="16"/>
          <w:lang w:eastAsia="zh-CN"/>
        </w:rPr>
      </w:pPr>
    </w:p>
    <w:p w:rsidR="006C2E79" w:rsidRDefault="008F4636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6C2E79" w:rsidRDefault="006C2E79">
      <w:pPr>
        <w:spacing w:line="204" w:lineRule="exact"/>
        <w:rPr>
          <w:rFonts w:ascii="Arial"/>
          <w:b/>
          <w:color w:val="BF5A14"/>
          <w:sz w:val="20"/>
        </w:rPr>
      </w:pPr>
      <w:bookmarkStart w:id="0" w:name="_GoBack"/>
      <w:bookmarkEnd w:id="0"/>
    </w:p>
    <w:p w:rsidR="006C2E79" w:rsidRDefault="006C2E79">
      <w:pPr>
        <w:spacing w:line="204" w:lineRule="exact"/>
        <w:rPr>
          <w:rFonts w:ascii="Arial"/>
          <w:b/>
          <w:color w:val="BF5A14"/>
          <w:sz w:val="20"/>
        </w:rPr>
      </w:pPr>
    </w:p>
    <w:p w:rsidR="006C2E79" w:rsidRPr="00B22B65" w:rsidRDefault="006C2E79" w:rsidP="00B22B65">
      <w:pPr>
        <w:pStyle w:val="a3"/>
        <w:spacing w:before="3"/>
        <w:rPr>
          <w:rFonts w:ascii="Minion Pro" w:eastAsiaTheme="minorEastAsia" w:hint="eastAsia"/>
          <w:sz w:val="26"/>
          <w:lang w:eastAsia="zh-CN"/>
        </w:rPr>
      </w:pPr>
    </w:p>
    <w:sectPr w:rsidR="006C2E79" w:rsidRPr="00B22B6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636" w:rsidRDefault="008F4636">
      <w:r>
        <w:separator/>
      </w:r>
    </w:p>
  </w:endnote>
  <w:endnote w:type="continuationSeparator" w:id="0">
    <w:p w:rsidR="008F4636" w:rsidRDefault="008F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Segoe Print"/>
    <w:charset w:val="00"/>
    <w:family w:val="swiss"/>
    <w:pitch w:val="default"/>
    <w:sig w:usb0="00000000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OT863180fb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E79" w:rsidRDefault="008F4636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2E79" w:rsidRDefault="008F463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6C2E79" w:rsidRDefault="008F463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:rsidR="006C2E79" w:rsidRDefault="008F463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6C2E79" w:rsidRDefault="008F463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2E79" w:rsidRDefault="008F463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6C2E79" w:rsidRDefault="008F463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:rsidR="006C2E79" w:rsidRDefault="008F463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6C2E79" w:rsidRDefault="008F463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2E79" w:rsidRDefault="008F463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6C2E79" w:rsidRDefault="008F463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:rsidR="006C2E79" w:rsidRDefault="008F463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6C2E79" w:rsidRDefault="008F463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636" w:rsidRDefault="008F4636">
      <w:r>
        <w:separator/>
      </w:r>
    </w:p>
  </w:footnote>
  <w:footnote w:type="continuationSeparator" w:id="0">
    <w:p w:rsidR="008F4636" w:rsidRDefault="008F46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E79" w:rsidRDefault="008F4636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2E79" w:rsidRDefault="008F4636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:rsidR="006C2E79" w:rsidRDefault="008F4636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2E79" w:rsidRDefault="008F4636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</w:rPr>
                            <w:t xml:space="preserve">International Conference </w:t>
                          </w:r>
                          <w:r>
                            <w:rPr>
                              <w:rFonts w:ascii="Myriad Pro"/>
                              <w:color w:val="FFFFFF" w:themeColor="background1"/>
                            </w:rPr>
                            <w:t>on</w:t>
                          </w:r>
                        </w:p>
                        <w:p w:rsidR="006C2E79" w:rsidRDefault="008F4636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:rsidR="006C2E79" w:rsidRDefault="008F4636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>
                      <w:rPr>
                        <w:rFonts w:ascii="Myriad Pro"/>
                        <w:color w:val="FFFFFF" w:themeColor="background1"/>
                      </w:rPr>
                      <w:t xml:space="preserve">International Conference </w:t>
                    </w:r>
                    <w:r>
                      <w:rPr>
                        <w:rFonts w:ascii="Myriad Pro"/>
                        <w:color w:val="FFFFFF" w:themeColor="background1"/>
                      </w:rPr>
                      <w:t>on</w:t>
                    </w:r>
                  </w:p>
                  <w:p w:rsidR="006C2E79" w:rsidRDefault="008F4636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B0E38"/>
    <w:rsid w:val="000E2911"/>
    <w:rsid w:val="001263DF"/>
    <w:rsid w:val="001470E9"/>
    <w:rsid w:val="00172A27"/>
    <w:rsid w:val="001872E1"/>
    <w:rsid w:val="00207A54"/>
    <w:rsid w:val="00292ED9"/>
    <w:rsid w:val="002F04F4"/>
    <w:rsid w:val="002F1FFE"/>
    <w:rsid w:val="00404E5B"/>
    <w:rsid w:val="00414F7B"/>
    <w:rsid w:val="004355DC"/>
    <w:rsid w:val="004749B4"/>
    <w:rsid w:val="00494130"/>
    <w:rsid w:val="004F3523"/>
    <w:rsid w:val="00573FEF"/>
    <w:rsid w:val="005973B9"/>
    <w:rsid w:val="005B3A56"/>
    <w:rsid w:val="006060CE"/>
    <w:rsid w:val="0063497F"/>
    <w:rsid w:val="006C2E79"/>
    <w:rsid w:val="00751865"/>
    <w:rsid w:val="007669F8"/>
    <w:rsid w:val="00873DF0"/>
    <w:rsid w:val="008756E6"/>
    <w:rsid w:val="008C67C3"/>
    <w:rsid w:val="008F4636"/>
    <w:rsid w:val="009272EF"/>
    <w:rsid w:val="009B2D44"/>
    <w:rsid w:val="009E27E3"/>
    <w:rsid w:val="00A07E82"/>
    <w:rsid w:val="00A66523"/>
    <w:rsid w:val="00A9710C"/>
    <w:rsid w:val="00AE3E37"/>
    <w:rsid w:val="00AF6F88"/>
    <w:rsid w:val="00B21A57"/>
    <w:rsid w:val="00B22B65"/>
    <w:rsid w:val="00BE257E"/>
    <w:rsid w:val="00C33602"/>
    <w:rsid w:val="00C71ACD"/>
    <w:rsid w:val="00C721D7"/>
    <w:rsid w:val="00CD6F55"/>
    <w:rsid w:val="00D95FEF"/>
    <w:rsid w:val="00DD0EBC"/>
    <w:rsid w:val="00DE3104"/>
    <w:rsid w:val="00E026C8"/>
    <w:rsid w:val="00E072F3"/>
    <w:rsid w:val="00E55C99"/>
    <w:rsid w:val="00F72EEA"/>
    <w:rsid w:val="00F84CAE"/>
    <w:rsid w:val="00FC09D7"/>
    <w:rsid w:val="04F44035"/>
    <w:rsid w:val="0E247C47"/>
    <w:rsid w:val="10A93F47"/>
    <w:rsid w:val="11187F36"/>
    <w:rsid w:val="113C34E2"/>
    <w:rsid w:val="153B647F"/>
    <w:rsid w:val="17A55600"/>
    <w:rsid w:val="1E3A708D"/>
    <w:rsid w:val="1E526F41"/>
    <w:rsid w:val="1E906BEF"/>
    <w:rsid w:val="1F0F04A2"/>
    <w:rsid w:val="21EE355F"/>
    <w:rsid w:val="231F5A35"/>
    <w:rsid w:val="28CF3777"/>
    <w:rsid w:val="2FAD4FEA"/>
    <w:rsid w:val="3242666B"/>
    <w:rsid w:val="40D71FAB"/>
    <w:rsid w:val="48AD6F2E"/>
    <w:rsid w:val="5F8226C8"/>
    <w:rsid w:val="600E6F62"/>
    <w:rsid w:val="79E25180"/>
    <w:rsid w:val="7FB85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next w:val="a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sz w:val="18"/>
      <w:szCs w:val="18"/>
    </w:rPr>
  </w:style>
  <w:style w:type="paragraph" w:styleId="a4">
    <w:name w:val="Balloon Text"/>
    <w:basedOn w:val="a"/>
    <w:link w:val="Char0"/>
    <w:uiPriority w:val="99"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513"/>
        <w:tab w:val="right" w:pos="9026"/>
      </w:tabs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513"/>
        <w:tab w:val="right" w:pos="9026"/>
      </w:tabs>
    </w:p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8">
    <w:name w:val="List Paragraph"/>
    <w:basedOn w:val="a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6"/>
    <w:uiPriority w:val="99"/>
    <w:qFormat/>
    <w:rPr>
      <w:rFonts w:ascii="Tw Cen MT" w:eastAsia="Tw Cen MT" w:hAnsi="Tw Cen MT" w:cs="Tw Cen MT"/>
    </w:rPr>
  </w:style>
  <w:style w:type="character" w:customStyle="1" w:styleId="Char1">
    <w:name w:val="页脚 Char"/>
    <w:basedOn w:val="a0"/>
    <w:link w:val="a5"/>
    <w:uiPriority w:val="99"/>
    <w:rPr>
      <w:rFonts w:ascii="Tw Cen MT" w:eastAsia="Tw Cen MT" w:hAnsi="Tw Cen MT" w:cs="Tw Cen MT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Char">
    <w:name w:val="正文文本 Char"/>
    <w:basedOn w:val="a0"/>
    <w:link w:val="a3"/>
    <w:uiPriority w:val="1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next w:val="a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sz w:val="18"/>
      <w:szCs w:val="18"/>
    </w:rPr>
  </w:style>
  <w:style w:type="paragraph" w:styleId="a4">
    <w:name w:val="Balloon Text"/>
    <w:basedOn w:val="a"/>
    <w:link w:val="Char0"/>
    <w:uiPriority w:val="99"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513"/>
        <w:tab w:val="right" w:pos="9026"/>
      </w:tabs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513"/>
        <w:tab w:val="right" w:pos="9026"/>
      </w:tabs>
    </w:p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8">
    <w:name w:val="List Paragraph"/>
    <w:basedOn w:val="a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6"/>
    <w:uiPriority w:val="99"/>
    <w:qFormat/>
    <w:rPr>
      <w:rFonts w:ascii="Tw Cen MT" w:eastAsia="Tw Cen MT" w:hAnsi="Tw Cen MT" w:cs="Tw Cen MT"/>
    </w:rPr>
  </w:style>
  <w:style w:type="character" w:customStyle="1" w:styleId="Char1">
    <w:name w:val="页脚 Char"/>
    <w:basedOn w:val="a0"/>
    <w:link w:val="a5"/>
    <w:uiPriority w:val="99"/>
    <w:rPr>
      <w:rFonts w:ascii="Tw Cen MT" w:eastAsia="Tw Cen MT" w:hAnsi="Tw Cen MT" w:cs="Tw Cen MT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Char">
    <w:name w:val="正文文本 Char"/>
    <w:basedOn w:val="a0"/>
    <w:link w:val="a3"/>
    <w:uiPriority w:val="1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394</Words>
  <Characters>2251</Characters>
  <Application>Microsoft Office Word</Application>
  <DocSecurity>0</DocSecurity>
  <Lines>18</Lines>
  <Paragraphs>5</Paragraphs>
  <ScaleCrop>false</ScaleCrop>
  <Company>Microsoft</Company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Sky123.Org</cp:lastModifiedBy>
  <cp:revision>17</cp:revision>
  <dcterms:created xsi:type="dcterms:W3CDTF">2017-09-13T09:11:00Z</dcterms:created>
  <dcterms:modified xsi:type="dcterms:W3CDTF">2017-12-06T12:54:00Z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2052-10.1.0.7023</vt:lpwstr>
  </property>
</Properties>
</file>