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02F" w:rsidRPr="00855228" w:rsidRDefault="005D602F" w:rsidP="005D602F">
      <w:pPr>
        <w:jc w:val="center"/>
        <w:rPr>
          <w:rFonts w:asciiTheme="majorBidi" w:hAnsiTheme="majorBidi" w:cstheme="majorBidi"/>
          <w:noProof/>
          <w:sz w:val="28"/>
          <w:szCs w:val="28"/>
        </w:rPr>
      </w:pPr>
      <w:r w:rsidRPr="00855228">
        <w:rPr>
          <w:rFonts w:asciiTheme="majorBidi" w:hAnsiTheme="majorBidi" w:cstheme="majorBidi"/>
          <w:noProof/>
          <w:sz w:val="28"/>
          <w:szCs w:val="28"/>
        </w:rPr>
        <w:t xml:space="preserve">Enhanced Reservoir Characterization by Use of Thin Section Analysis </w:t>
      </w:r>
    </w:p>
    <w:p w:rsidR="005D602F" w:rsidRDefault="005D602F" w:rsidP="005D602F">
      <w:pPr>
        <w:spacing w:line="480" w:lineRule="auto"/>
        <w:rPr>
          <w:rFonts w:asciiTheme="majorBidi" w:hAnsiTheme="majorBidi" w:cstheme="majorBidi"/>
          <w:sz w:val="24"/>
          <w:szCs w:val="24"/>
        </w:rPr>
      </w:pPr>
    </w:p>
    <w:p w:rsidR="005D602F" w:rsidRDefault="005D602F" w:rsidP="005D602F">
      <w:pPr>
        <w:spacing w:line="480" w:lineRule="auto"/>
        <w:rPr>
          <w:rFonts w:asciiTheme="majorBidi" w:hAnsiTheme="majorBidi" w:cstheme="majorBidi"/>
          <w:sz w:val="24"/>
          <w:szCs w:val="24"/>
        </w:rPr>
      </w:pPr>
      <w:r w:rsidRPr="00E7346D">
        <w:rPr>
          <w:rFonts w:asciiTheme="majorBidi" w:hAnsiTheme="majorBidi" w:cstheme="majorBidi"/>
          <w:sz w:val="24"/>
          <w:szCs w:val="24"/>
        </w:rPr>
        <w:t xml:space="preserve">This </w:t>
      </w:r>
      <w:r>
        <w:rPr>
          <w:rFonts w:asciiTheme="majorBidi" w:hAnsiTheme="majorBidi" w:cstheme="majorBidi"/>
          <w:sz w:val="24"/>
          <w:szCs w:val="24"/>
        </w:rPr>
        <w:t xml:space="preserve">research </w:t>
      </w:r>
      <w:r w:rsidRPr="00E7346D">
        <w:rPr>
          <w:rFonts w:asciiTheme="majorBidi" w:hAnsiTheme="majorBidi" w:cstheme="majorBidi"/>
          <w:sz w:val="24"/>
          <w:szCs w:val="24"/>
        </w:rPr>
        <w:t xml:space="preserve">intends to perform reservoir characterization of reservoir rocks based on the petrophysical, petrographical, and mineralogical properties of </w:t>
      </w:r>
      <w:r>
        <w:rPr>
          <w:rFonts w:asciiTheme="majorBidi" w:hAnsiTheme="majorBidi" w:cstheme="majorBidi"/>
          <w:sz w:val="24"/>
          <w:szCs w:val="24"/>
        </w:rPr>
        <w:t xml:space="preserve">40 </w:t>
      </w:r>
      <w:r w:rsidRPr="00E7346D">
        <w:rPr>
          <w:rFonts w:asciiTheme="majorBidi" w:hAnsiTheme="majorBidi" w:cstheme="majorBidi"/>
          <w:sz w:val="24"/>
          <w:szCs w:val="24"/>
        </w:rPr>
        <w:t>2D blue-dye resin stained thin section images</w:t>
      </w:r>
      <w:r>
        <w:rPr>
          <w:rFonts w:asciiTheme="majorBidi" w:hAnsiTheme="majorBidi" w:cstheme="majorBidi"/>
          <w:sz w:val="24"/>
          <w:szCs w:val="24"/>
        </w:rPr>
        <w:t>, corresponding to 40 core plugs and 9 thin section slides of multiple lithologies including sandstones, limestones, and dolostones</w:t>
      </w:r>
      <w:r w:rsidRPr="00E7346D">
        <w:rPr>
          <w:rFonts w:asciiTheme="majorBidi" w:hAnsiTheme="majorBidi" w:cstheme="majorBidi"/>
          <w:sz w:val="24"/>
          <w:szCs w:val="24"/>
        </w:rPr>
        <w:t>. Thin section image analysis’ calculations and observations are compared w</w:t>
      </w:r>
      <w:r>
        <w:rPr>
          <w:rFonts w:asciiTheme="majorBidi" w:hAnsiTheme="majorBidi" w:cstheme="majorBidi"/>
          <w:sz w:val="24"/>
          <w:szCs w:val="24"/>
        </w:rPr>
        <w:t xml:space="preserve">ith core visual observations, laboratory measurements, and X-ray diffraction analysis </w:t>
      </w:r>
      <w:r w:rsidRPr="00E7346D">
        <w:rPr>
          <w:rFonts w:asciiTheme="majorBidi" w:hAnsiTheme="majorBidi" w:cstheme="majorBidi"/>
          <w:sz w:val="24"/>
          <w:szCs w:val="24"/>
        </w:rPr>
        <w:t xml:space="preserve">for validation. </w:t>
      </w:r>
      <w:r>
        <w:rPr>
          <w:rFonts w:asciiTheme="majorBidi" w:hAnsiTheme="majorBidi" w:cstheme="majorBidi"/>
          <w:sz w:val="24"/>
          <w:szCs w:val="24"/>
        </w:rPr>
        <w:t xml:space="preserve">Moreover, this research allows the calculation of thin section images’ petrophysical parameters as porosity and permeability by use of </w:t>
      </w:r>
      <w:r w:rsidRPr="00D858D6">
        <w:rPr>
          <w:rFonts w:asciiTheme="majorBidi" w:hAnsiTheme="majorBidi" w:cstheme="majorBidi"/>
          <w:sz w:val="24"/>
          <w:szCs w:val="24"/>
        </w:rPr>
        <w:t xml:space="preserve">the </w:t>
      </w:r>
      <w:r>
        <w:rPr>
          <w:rFonts w:asciiTheme="majorBidi" w:hAnsiTheme="majorBidi" w:cstheme="majorBidi"/>
          <w:sz w:val="24"/>
          <w:szCs w:val="24"/>
        </w:rPr>
        <w:t xml:space="preserve">simple </w:t>
      </w:r>
      <w:r w:rsidRPr="00D858D6">
        <w:rPr>
          <w:rFonts w:asciiTheme="majorBidi" w:hAnsiTheme="majorBidi" w:cstheme="majorBidi"/>
          <w:sz w:val="24"/>
          <w:szCs w:val="24"/>
        </w:rPr>
        <w:t>“ImageJ</w:t>
      </w:r>
      <w:r>
        <w:rPr>
          <w:rFonts w:asciiTheme="majorBidi" w:hAnsiTheme="majorBidi" w:cstheme="majorBidi"/>
          <w:sz w:val="24"/>
          <w:szCs w:val="24"/>
        </w:rPr>
        <w:t>”</w:t>
      </w:r>
      <w:r w:rsidRPr="00D858D6">
        <w:rPr>
          <w:rFonts w:asciiTheme="majorBidi" w:hAnsiTheme="majorBidi" w:cstheme="majorBidi"/>
          <w:sz w:val="24"/>
          <w:szCs w:val="24"/>
        </w:rPr>
        <w:t xml:space="preserve"> image </w:t>
      </w:r>
      <w:r>
        <w:rPr>
          <w:rFonts w:asciiTheme="majorBidi" w:hAnsiTheme="majorBidi" w:cstheme="majorBidi"/>
          <w:sz w:val="24"/>
          <w:szCs w:val="24"/>
        </w:rPr>
        <w:t xml:space="preserve">processing and </w:t>
      </w:r>
      <w:r w:rsidRPr="00D858D6">
        <w:rPr>
          <w:rFonts w:asciiTheme="majorBidi" w:hAnsiTheme="majorBidi" w:cstheme="majorBidi"/>
          <w:sz w:val="24"/>
          <w:szCs w:val="24"/>
        </w:rPr>
        <w:t>analysis</w:t>
      </w:r>
      <w:r>
        <w:rPr>
          <w:rFonts w:asciiTheme="majorBidi" w:hAnsiTheme="majorBidi" w:cstheme="majorBidi"/>
          <w:sz w:val="24"/>
          <w:szCs w:val="24"/>
        </w:rPr>
        <w:t xml:space="preserve"> program, and different permeability equations that are function in the porosity and image geometry parameters, respectively, which is a  technique known as Petro Graphic I</w:t>
      </w:r>
      <w:r w:rsidRPr="00674D78">
        <w:rPr>
          <w:rFonts w:asciiTheme="majorBidi" w:hAnsiTheme="majorBidi" w:cstheme="majorBidi"/>
          <w:sz w:val="24"/>
          <w:szCs w:val="24"/>
        </w:rPr>
        <w:t>mage analysis (PIA)</w:t>
      </w:r>
      <w:r>
        <w:rPr>
          <w:rFonts w:asciiTheme="majorBidi" w:hAnsiTheme="majorBidi" w:cstheme="majorBidi"/>
          <w:sz w:val="24"/>
          <w:szCs w:val="24"/>
        </w:rPr>
        <w:t>. Furthermore, geological analyses are presented for each thin section image including petrography as rock textures and pore-grain distribution and types as well as mineralogy as mineral compositions and lithology, reflecting to the diagenesis process and lithology of reservoir rocks, respectively. Moreover, the objectives of this research are also to create correlations between porosity and permeability from image and those form core plugs: Correlations that are specific for each lithology. Three permeability equations, using image parameters, are applied, compared with laboratory measurements, modified, and validated. Moreover, Winland R35 rock typing method is applied for comparison of permeability equations, rock typing purpose, and pore throat sizes-based classification. Results show</w:t>
      </w:r>
      <w:r w:rsidRPr="008E0B2C">
        <w:rPr>
          <w:rFonts w:asciiTheme="majorBidi" w:hAnsiTheme="majorBidi" w:cstheme="majorBidi"/>
          <w:sz w:val="24"/>
          <w:szCs w:val="24"/>
        </w:rPr>
        <w:t xml:space="preserve"> </w:t>
      </w:r>
      <w:r>
        <w:rPr>
          <w:rFonts w:asciiTheme="majorBidi" w:hAnsiTheme="majorBidi" w:cstheme="majorBidi"/>
          <w:sz w:val="24"/>
          <w:szCs w:val="24"/>
        </w:rPr>
        <w:t xml:space="preserve">good </w:t>
      </w:r>
      <w:r w:rsidRPr="00CB6C57">
        <w:rPr>
          <w:rFonts w:asciiTheme="majorBidi" w:hAnsiTheme="majorBidi" w:cstheme="majorBidi"/>
          <w:sz w:val="24"/>
          <w:szCs w:val="24"/>
        </w:rPr>
        <w:t>accuracy of</w:t>
      </w:r>
      <w:r>
        <w:rPr>
          <w:rFonts w:asciiTheme="majorBidi" w:hAnsiTheme="majorBidi" w:cstheme="majorBidi"/>
          <w:sz w:val="24"/>
          <w:szCs w:val="24"/>
        </w:rPr>
        <w:t xml:space="preserve"> coefficient of determination </w:t>
      </w:r>
      <w:r w:rsidRPr="00CB6C57">
        <w:rPr>
          <w:rFonts w:asciiTheme="majorBidi" w:hAnsiTheme="majorBidi" w:cstheme="majorBidi"/>
          <w:sz w:val="24"/>
          <w:szCs w:val="24"/>
        </w:rPr>
        <w:t>R</w:t>
      </w:r>
      <w:r w:rsidRPr="00CB6C57">
        <w:rPr>
          <w:rFonts w:asciiTheme="majorBidi" w:hAnsiTheme="majorBidi" w:cstheme="majorBidi"/>
          <w:sz w:val="24"/>
          <w:szCs w:val="24"/>
          <w:vertAlign w:val="superscript"/>
        </w:rPr>
        <w:t xml:space="preserve">2 </w:t>
      </w:r>
      <w:r>
        <w:rPr>
          <w:rFonts w:asciiTheme="majorBidi" w:hAnsiTheme="majorBidi" w:cstheme="majorBidi"/>
          <w:sz w:val="24"/>
          <w:szCs w:val="24"/>
        </w:rPr>
        <w:t xml:space="preserve">ranging from 0.7 to greater than 0.9 for porosities and permeabilities of all lithologies, marking the Kozeny Carman equation as the least accurate for all the lithologies, the </w:t>
      </w:r>
      <w:r w:rsidRPr="00E644A1">
        <w:rPr>
          <w:rFonts w:asciiTheme="majorBidi" w:hAnsiTheme="majorBidi" w:cstheme="majorBidi"/>
          <w:sz w:val="24"/>
          <w:szCs w:val="24"/>
        </w:rPr>
        <w:lastRenderedPageBreak/>
        <w:t>Kozeny Car</w:t>
      </w:r>
      <w:r>
        <w:rPr>
          <w:rFonts w:asciiTheme="majorBidi" w:hAnsiTheme="majorBidi" w:cstheme="majorBidi"/>
          <w:sz w:val="24"/>
          <w:szCs w:val="24"/>
        </w:rPr>
        <w:t>man equation and hydraulic radius</w:t>
      </w:r>
      <w:r w:rsidRPr="000920B9">
        <w:rPr>
          <w:rFonts w:asciiTheme="majorBidi" w:hAnsiTheme="majorBidi" w:cstheme="majorBidi"/>
          <w:sz w:val="24"/>
          <w:szCs w:val="24"/>
        </w:rPr>
        <w:t xml:space="preserve"> </w:t>
      </w:r>
      <w:r w:rsidRPr="00E644A1">
        <w:rPr>
          <w:rFonts w:asciiTheme="majorBidi" w:hAnsiTheme="majorBidi" w:cstheme="majorBidi"/>
          <w:sz w:val="24"/>
          <w:szCs w:val="24"/>
        </w:rPr>
        <w:t>approximation</w:t>
      </w:r>
      <w:r>
        <w:rPr>
          <w:rFonts w:asciiTheme="majorBidi" w:hAnsiTheme="majorBidi" w:cstheme="majorBidi"/>
          <w:sz w:val="24"/>
          <w:szCs w:val="24"/>
        </w:rPr>
        <w:t xml:space="preserve"> as the most accurate for dolostones and gypsum nummulitic limestones, and the</w:t>
      </w:r>
      <w:r w:rsidRPr="005F0E78">
        <w:rPr>
          <w:rFonts w:asciiTheme="majorBidi" w:hAnsiTheme="majorBidi" w:cstheme="majorBidi"/>
          <w:sz w:val="24"/>
          <w:szCs w:val="24"/>
        </w:rPr>
        <w:t xml:space="preserve"> </w:t>
      </w:r>
      <w:r w:rsidRPr="00E644A1">
        <w:rPr>
          <w:rFonts w:asciiTheme="majorBidi" w:hAnsiTheme="majorBidi" w:cstheme="majorBidi"/>
          <w:sz w:val="24"/>
          <w:szCs w:val="24"/>
        </w:rPr>
        <w:t>Kirkpatrick equation and effective medium approximation</w:t>
      </w:r>
      <w:r>
        <w:rPr>
          <w:rFonts w:asciiTheme="majorBidi" w:hAnsiTheme="majorBidi" w:cstheme="majorBidi"/>
          <w:sz w:val="24"/>
          <w:szCs w:val="24"/>
        </w:rPr>
        <w:t xml:space="preserve"> conductance as the most accurate for compacted calcareous sandstones and almost pure nummulitic limestones. Also, for all the lithologies combined, the Kirkpatrick equation shows the highest accuracy followed by the Kozeny hydraulic approximation, then the Kozeny equation. Moreover, results display logical identification of rock texture, microstructure, and </w:t>
      </w:r>
      <w:proofErr w:type="spellStart"/>
      <w:r>
        <w:rPr>
          <w:rFonts w:asciiTheme="majorBidi" w:hAnsiTheme="majorBidi" w:cstheme="majorBidi"/>
          <w:sz w:val="24"/>
          <w:szCs w:val="24"/>
        </w:rPr>
        <w:t>diagenetic</w:t>
      </w:r>
      <w:proofErr w:type="spellEnd"/>
      <w:r>
        <w:rPr>
          <w:rFonts w:asciiTheme="majorBidi" w:hAnsiTheme="majorBidi" w:cstheme="majorBidi"/>
          <w:sz w:val="24"/>
          <w:szCs w:val="24"/>
        </w:rPr>
        <w:t xml:space="preserve"> history, as well as correct lithology identification.</w:t>
      </w:r>
    </w:p>
    <w:p w:rsidR="00C62524" w:rsidRDefault="00C62524"/>
    <w:sectPr w:rsidR="00C62524">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5D602F"/>
    <w:rsid w:val="005D602F"/>
    <w:rsid w:val="00C62524"/>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suntrust1</dc:creator>
  <cp:keywords/>
  <dc:description/>
  <cp:lastModifiedBy>suntrust1</cp:lastModifiedBy>
  <cp:revision>2</cp:revision>
  <dcterms:created xsi:type="dcterms:W3CDTF">2019-06-17T11:59:00Z</dcterms:created>
  <dcterms:modified xsi:type="dcterms:W3CDTF">2019-06-17T11:59:00Z</dcterms:modified>
</cp:coreProperties>
</file>