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360" w:line="432" w:lineRule="auto"/>
        <w:jc w:val="center"/>
        <w:rPr>
          <w:b w:val="1"/>
          <w:sz w:val="21"/>
          <w:szCs w:val="21"/>
        </w:rPr>
      </w:pPr>
      <w:r w:rsidDel="00000000" w:rsidR="00000000" w:rsidRPr="00000000">
        <w:rPr>
          <w:b w:val="1"/>
          <w:sz w:val="39"/>
          <w:szCs w:val="39"/>
          <w:rtl w:val="0"/>
        </w:rPr>
        <w:t xml:space="preserve">A sedimentological approach to predicting reservoir quality and distribution of deep marine sandstones: An example from the Lower Cretaceous Scapa Sandstone of the Witch Ground Graben area, North Sea</w:t>
      </w:r>
      <w:r w:rsidDel="00000000" w:rsidR="00000000" w:rsidRPr="00000000">
        <w:rPr>
          <w:rtl w:val="0"/>
        </w:rPr>
      </w:r>
    </w:p>
    <w:p w:rsidR="00000000" w:rsidDel="00000000" w:rsidP="00000000" w:rsidRDefault="00000000" w:rsidRPr="00000000" w14:paraId="00000002">
      <w:pPr>
        <w:spacing w:before="360" w:line="432" w:lineRule="auto"/>
        <w:jc w:val="center"/>
        <w:rPr>
          <w:b w:val="1"/>
          <w:sz w:val="21"/>
          <w:szCs w:val="21"/>
        </w:rPr>
      </w:pPr>
      <w:r w:rsidDel="00000000" w:rsidR="00000000" w:rsidRPr="00000000">
        <w:rPr>
          <w:rtl w:val="0"/>
        </w:rPr>
      </w:r>
    </w:p>
    <w:p w:rsidR="00000000" w:rsidDel="00000000" w:rsidP="00000000" w:rsidRDefault="00000000" w:rsidRPr="00000000" w14:paraId="00000003">
      <w:pPr>
        <w:spacing w:before="360" w:line="432" w:lineRule="auto"/>
        <w:jc w:val="center"/>
        <w:rPr>
          <w:b w:val="1"/>
          <w:sz w:val="21"/>
          <w:szCs w:val="21"/>
        </w:rPr>
      </w:pPr>
      <w:r w:rsidDel="00000000" w:rsidR="00000000" w:rsidRPr="00000000">
        <w:rPr>
          <w:b w:val="1"/>
          <w:sz w:val="21"/>
          <w:szCs w:val="21"/>
          <w:rtl w:val="0"/>
        </w:rPr>
        <w:t xml:space="preserve">ABSTRACT:</w:t>
      </w:r>
    </w:p>
    <w:p w:rsidR="00000000" w:rsidDel="00000000" w:rsidP="00000000" w:rsidRDefault="00000000" w:rsidRPr="00000000" w14:paraId="00000004">
      <w:pPr>
        <w:spacing w:line="432"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spacing w:line="432"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6">
      <w:pPr>
        <w:spacing w:line="432" w:lineRule="auto"/>
        <w:rPr>
          <w:sz w:val="18"/>
          <w:szCs w:val="18"/>
        </w:rPr>
      </w:pPr>
      <w:r w:rsidDel="00000000" w:rsidR="00000000" w:rsidRPr="00000000">
        <w:rPr>
          <w:sz w:val="18"/>
          <w:szCs w:val="18"/>
          <w:rtl w:val="0"/>
        </w:rPr>
        <w:t xml:space="preserve">The Lower Cretaceous Scapa Sandstone represents an ancient submarine fan system in the Witch Ground Graben area of the North Sea. This project aims to investigate the reservoir quality and distribution of the Scapa Sandstones using core and bio-stratigraphic data from seven wells. In order to do this a detailed sedimentological process-based approach was implemented to classify bed types into 7 main facies using core data from wells drilled to test the Lower Cretaceous sands. Wells show a dominance of low density turbidites and high density turbidites. High density turbidites displays the best reservoir properties. Well 14/19-29 exhibited an odd trend that shows constant porosity with varying permeability. This led to the compositional analysis of the calcareous high density turbidites of well 14/19-29.</w:t>
      </w:r>
    </w:p>
    <w:p w:rsidR="00000000" w:rsidDel="00000000" w:rsidP="00000000" w:rsidRDefault="00000000" w:rsidRPr="00000000" w14:paraId="00000007">
      <w:pPr>
        <w:spacing w:line="432" w:lineRule="auto"/>
        <w:rPr>
          <w:sz w:val="18"/>
          <w:szCs w:val="18"/>
        </w:rPr>
      </w:pPr>
      <w:r w:rsidDel="00000000" w:rsidR="00000000" w:rsidRPr="00000000">
        <w:rPr>
          <w:sz w:val="18"/>
          <w:szCs w:val="18"/>
          <w:rtl w:val="0"/>
        </w:rPr>
        <w:t xml:space="preserve">The establishment of facies has significant implications for determining depositional environment, this is important in predicting heterogeneity of the deposits. Deposits of the proximal fan have the least heterogeneity and are composed pre-dominantly of high density turbidites with a low clay content. Integration of bio-stratigraphic data with core analysis was critical in determining major time lines and surfaces that allowed the age and reservoir quality to be correlated.  The results of this investigation highlight that successful exploration and production strategies for deep marine sandstones require detailed sedimentological analysis of core to effectively characterise the reservoir. Incorporating such data into a reservoir model will have a significant impact on the recovery factor and sweep efficiency.</w:t>
      </w:r>
    </w:p>
    <w:p w:rsidR="00000000" w:rsidDel="00000000" w:rsidP="00000000" w:rsidRDefault="00000000" w:rsidRPr="00000000" w14:paraId="0000000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