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ED4" w:rsidRDefault="00EE7ED4" w:rsidP="00EE7ED4">
      <w:pPr>
        <w:jc w:val="center"/>
        <w:rPr>
          <w:b/>
        </w:rPr>
      </w:pPr>
      <w:r w:rsidRPr="00EE7ED4">
        <w:rPr>
          <w:b/>
        </w:rPr>
        <w:t>Capturing Uncertainty for New Field X Development Influenced by Pressure Depletion</w:t>
      </w:r>
    </w:p>
    <w:p w:rsidR="00EE7ED4" w:rsidRPr="00EE7ED4" w:rsidRDefault="00EE7ED4" w:rsidP="00EE7ED4">
      <w:pPr>
        <w:jc w:val="center"/>
        <w:rPr>
          <w:b/>
        </w:rPr>
      </w:pPr>
    </w:p>
    <w:p w:rsidR="00B81F52" w:rsidRDefault="00B81F52" w:rsidP="00B81F52">
      <w:r>
        <w:t xml:space="preserve">This paper will discuss on subsurface approach in integrating reservoir and appraisal wells data of Field “X”, nearby field production performance and regional geological understanding in calibrating </w:t>
      </w:r>
      <w:r>
        <w:t xml:space="preserve">the </w:t>
      </w:r>
      <w:r>
        <w:t xml:space="preserve">pressure depletion </w:t>
      </w:r>
      <w:r>
        <w:t xml:space="preserve">in </w:t>
      </w:r>
      <w:r>
        <w:t>formulating the</w:t>
      </w:r>
      <w:r>
        <w:t xml:space="preserve"> field</w:t>
      </w:r>
      <w:r>
        <w:t xml:space="preserve"> development plan. This paper describes how in the absence of latest pressure data, a range of pressure depletion can be forecasted and captured in the uncertainty analysis to generate the probabilistic product</w:t>
      </w:r>
      <w:r>
        <w:t>ion forecast for business decision making.</w:t>
      </w:r>
    </w:p>
    <w:p w:rsidR="00EE7ED4" w:rsidRDefault="00EE7ED4" w:rsidP="00B81F52">
      <w:bookmarkStart w:id="0" w:name="_GoBack"/>
      <w:bookmarkEnd w:id="0"/>
    </w:p>
    <w:p w:rsidR="00B81F52" w:rsidRDefault="00B81F52" w:rsidP="00B81F52">
      <w:r>
        <w:t xml:space="preserve">The methodology used includes </w:t>
      </w:r>
      <w:r>
        <w:t xml:space="preserve">the </w:t>
      </w:r>
      <w:r>
        <w:t xml:space="preserve">analysis of RFT data recorded from exploration and </w:t>
      </w:r>
      <w:r>
        <w:t xml:space="preserve">appraisal wells, as well as the available </w:t>
      </w:r>
      <w:r>
        <w:t xml:space="preserve">reservoir data </w:t>
      </w:r>
      <w:r>
        <w:t>from</w:t>
      </w:r>
      <w:r>
        <w:t xml:space="preserve"> the nearby </w:t>
      </w:r>
      <w:r>
        <w:t>f</w:t>
      </w:r>
      <w:r>
        <w:t>ield</w:t>
      </w:r>
      <w:r>
        <w:t>s</w:t>
      </w:r>
      <w:r>
        <w:t xml:space="preserve"> (STOIIP, pressure points, </w:t>
      </w:r>
      <w:r>
        <w:t>and production</w:t>
      </w:r>
      <w:r>
        <w:t>/injection data). Then, a tank model was built to predict pressure depletion trend in the field by establishing pressure communication with nearby Fields through aquifer. The forecasted pressure depletion was then</w:t>
      </w:r>
      <w:r>
        <w:t xml:space="preserve"> </w:t>
      </w:r>
      <w:r>
        <w:t>transferred into dynamic model, in which pseudo-water produc</w:t>
      </w:r>
      <w:r>
        <w:t xml:space="preserve">ers were introduced </w:t>
      </w:r>
      <w:r>
        <w:t>to calibrate and</w:t>
      </w:r>
      <w:r>
        <w:t xml:space="preserve"> deplete the reservoir pressure. It is critical for the model to be conditioned by</w:t>
      </w:r>
      <w:r>
        <w:t xml:space="preserve"> match</w:t>
      </w:r>
      <w:r>
        <w:t>ing</w:t>
      </w:r>
      <w:r>
        <w:t xml:space="preserve"> the previously forecasted reservoir pressure prior the prediction runs. </w:t>
      </w:r>
      <w:r>
        <w:t xml:space="preserve">The </w:t>
      </w:r>
      <w:r>
        <w:t xml:space="preserve">range of possible reservoir pressure depletion trend </w:t>
      </w:r>
      <w:r>
        <w:t xml:space="preserve">were also being evaluated, </w:t>
      </w:r>
      <w:r>
        <w:t>by varying the water withdrawal of the pseudo wel</w:t>
      </w:r>
      <w:r>
        <w:t xml:space="preserve">ls. This </w:t>
      </w:r>
      <w:r w:rsidR="001F46E2">
        <w:t>variable</w:t>
      </w:r>
      <w:r>
        <w:t xml:space="preserve"> </w:t>
      </w:r>
      <w:r>
        <w:t>were</w:t>
      </w:r>
      <w:r>
        <w:t xml:space="preserve"> then</w:t>
      </w:r>
      <w:r w:rsidR="001F46E2">
        <w:t xml:space="preserve"> included as part of</w:t>
      </w:r>
      <w:r>
        <w:t xml:space="preserve"> the </w:t>
      </w:r>
      <w:r>
        <w:t xml:space="preserve">comprehensive </w:t>
      </w:r>
      <w:r>
        <w:t>uncertainty analysis,</w:t>
      </w:r>
      <w:r w:rsidR="001F46E2">
        <w:t xml:space="preserve"> started by One Value At </w:t>
      </w:r>
      <w:r>
        <w:t>Time (OVAT) exercise</w:t>
      </w:r>
      <w:r w:rsidR="001F46E2">
        <w:t xml:space="preserve"> </w:t>
      </w:r>
      <w:r>
        <w:t>and followed</w:t>
      </w:r>
      <w:r>
        <w:t xml:space="preserve"> </w:t>
      </w:r>
      <w:r w:rsidR="001F46E2">
        <w:t xml:space="preserve">by probabilistic analysis to generate </w:t>
      </w:r>
      <w:r>
        <w:t>production forecast. The</w:t>
      </w:r>
      <w:r w:rsidR="001F46E2">
        <w:t xml:space="preserve"> range of oil recovery is very important to be addressed in the</w:t>
      </w:r>
      <w:r>
        <w:t xml:space="preserve"> economic evaluation and project mitigation plan.</w:t>
      </w:r>
    </w:p>
    <w:p w:rsidR="00EE7ED4" w:rsidRDefault="00EE7ED4" w:rsidP="00B81F52"/>
    <w:p w:rsidR="00EE7ED4" w:rsidRDefault="00B81F52" w:rsidP="00B81F52">
      <w:r>
        <w:t>As the result, the reservoir</w:t>
      </w:r>
      <w:r w:rsidR="001F46E2">
        <w:t>s</w:t>
      </w:r>
      <w:r>
        <w:t xml:space="preserve"> potentially </w:t>
      </w:r>
      <w:r w:rsidR="001F46E2">
        <w:t xml:space="preserve">will </w:t>
      </w:r>
      <w:r>
        <w:t xml:space="preserve">suffer up to 700psia pressure depletion by the expected </w:t>
      </w:r>
      <w:r w:rsidR="001F46E2">
        <w:t>first</w:t>
      </w:r>
      <w:r>
        <w:t xml:space="preserve"> oil date, with secondary gas cap is expected to have formed. The uncertainty analysis gives wide range of reserve, which economic result varies from fair to good.</w:t>
      </w:r>
      <w:r w:rsidR="001F46E2">
        <w:t xml:space="preserve"> </w:t>
      </w:r>
    </w:p>
    <w:p w:rsidR="00EE7ED4" w:rsidRDefault="00EE7ED4" w:rsidP="00B81F52"/>
    <w:p w:rsidR="00B81F52" w:rsidRDefault="001F46E2" w:rsidP="00B81F52">
      <w:r>
        <w:t xml:space="preserve">Therefore, it </w:t>
      </w:r>
      <w:r w:rsidR="00EE7ED4">
        <w:t xml:space="preserve">is </w:t>
      </w:r>
      <w:r>
        <w:t>safe to establish</w:t>
      </w:r>
      <w:r w:rsidR="00B81F52">
        <w:t xml:space="preserve"> that the understanding of pressure depletion</w:t>
      </w:r>
      <w:r>
        <w:t xml:space="preserve"> prior to production</w:t>
      </w:r>
      <w:r w:rsidR="00B81F52">
        <w:t xml:space="preserve"> is very critical</w:t>
      </w:r>
      <w:r>
        <w:t xml:space="preserve"> for field development</w:t>
      </w:r>
      <w:r w:rsidR="00B81F52">
        <w:t xml:space="preserve"> </w:t>
      </w:r>
      <w:r>
        <w:t xml:space="preserve">plan, </w:t>
      </w:r>
      <w:r w:rsidR="00B81F52">
        <w:t xml:space="preserve">to ensure the estimated reserve can </w:t>
      </w:r>
      <w:r>
        <w:t>be achieved. The worst thing could happen when</w:t>
      </w:r>
      <w:r w:rsidR="00B81F52">
        <w:t xml:space="preserve"> the pressure has depleted to the extent that oil is no longer there and has evolved into gas.</w:t>
      </w:r>
      <w:r>
        <w:t xml:space="preserve"> The severity is exponentially escalated for marginal field development, where the hydrocarbon volume is limited and commercially challenged.</w:t>
      </w:r>
    </w:p>
    <w:sectPr w:rsidR="00B81F52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F4C" w:rsidRDefault="00A60F4C" w:rsidP="00B81F52">
      <w:pPr>
        <w:spacing w:after="0" w:line="240" w:lineRule="auto"/>
      </w:pPr>
      <w:r>
        <w:separator/>
      </w:r>
    </w:p>
  </w:endnote>
  <w:endnote w:type="continuationSeparator" w:id="0">
    <w:p w:rsidR="00A60F4C" w:rsidRDefault="00A60F4C" w:rsidP="00B81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52" w:rsidRPr="00EE7ED4" w:rsidRDefault="00EE7ED4" w:rsidP="00EE7ED4">
    <w:pPr>
      <w:pStyle w:val="Footer"/>
    </w:pPr>
    <w:fldSimple w:instr=" DOCPROPERTY bjFooterEvenPageDocProperty \* MERGEFORMAT ">
      <w:r w:rsidRPr="00EE7ED4">
        <w:rPr>
          <w:rFonts w:ascii="Verdana" w:hAnsi="Verdana"/>
          <w:color w:val="000000"/>
          <w:sz w:val="12"/>
        </w:rPr>
        <w:t>Internal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52" w:rsidRPr="00EE7ED4" w:rsidRDefault="00EE7ED4" w:rsidP="00EE7ED4">
    <w:pPr>
      <w:pStyle w:val="Footer"/>
    </w:pPr>
    <w:fldSimple w:instr=" DOCPROPERTY bjFooterBothDocProperty \* MERGEFORMAT ">
      <w:r w:rsidRPr="00EE7ED4">
        <w:rPr>
          <w:rFonts w:ascii="Verdana" w:hAnsi="Verdana"/>
          <w:color w:val="000000"/>
          <w:sz w:val="12"/>
        </w:rPr>
        <w:t>Internal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52" w:rsidRPr="00EE7ED4" w:rsidRDefault="00EE7ED4" w:rsidP="00EE7ED4">
    <w:pPr>
      <w:pStyle w:val="Footer"/>
    </w:pPr>
    <w:fldSimple w:instr=" DOCPROPERTY bjFooterFirstPageDocProperty \* MERGEFORMAT ">
      <w:r w:rsidRPr="00EE7ED4">
        <w:rPr>
          <w:rFonts w:ascii="Verdana" w:hAnsi="Verdana"/>
          <w:color w:val="000000"/>
          <w:sz w:val="12"/>
        </w:rPr>
        <w:t>Internal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F4C" w:rsidRDefault="00A60F4C" w:rsidP="00B81F52">
      <w:pPr>
        <w:spacing w:after="0" w:line="240" w:lineRule="auto"/>
      </w:pPr>
      <w:r>
        <w:separator/>
      </w:r>
    </w:p>
  </w:footnote>
  <w:footnote w:type="continuationSeparator" w:id="0">
    <w:p w:rsidR="00A60F4C" w:rsidRDefault="00A60F4C" w:rsidP="00B81F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F52"/>
    <w:rsid w:val="001F46E2"/>
    <w:rsid w:val="002B24B3"/>
    <w:rsid w:val="0066573A"/>
    <w:rsid w:val="00A60F4C"/>
    <w:rsid w:val="00B81F52"/>
    <w:rsid w:val="00EE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899CA"/>
  <w15:chartTrackingRefBased/>
  <w15:docId w15:val="{7D23132D-83B3-4396-8D91-2616EF97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1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F52"/>
  </w:style>
  <w:style w:type="paragraph" w:styleId="Footer">
    <w:name w:val="footer"/>
    <w:basedOn w:val="Normal"/>
    <w:link w:val="FooterChar"/>
    <w:uiPriority w:val="99"/>
    <w:unhideWhenUsed/>
    <w:rsid w:val="00B81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894df29-9e07-45ae-95a6-4e7eb881815a">
  <element uid="fc6b8280-ed85-41e2-bcb5-17f2674e7dc3" value=""/>
  <element uid="63fe904a-5fdc-4578-a9e9-8bed5f54c116" value=""/>
  <element uid="156167bd-046a-459b-9d5a-a42ee179a501" value=""/>
</sisl>
</file>

<file path=customXml/itemProps1.xml><?xml version="1.0" encoding="utf-8"?>
<ds:datastoreItem xmlns:ds="http://schemas.openxmlformats.org/officeDocument/2006/customXml" ds:itemID="{EB6979D1-9F0C-40A1-98B9-57662BFC854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365</Words>
  <Characters>2086</Characters>
  <Application>Microsoft Office Word</Application>
  <DocSecurity>0</DocSecurity>
  <Lines>30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Mohd Fairuz Bin Azman (IRQ/Upstream)</dc:creator>
  <cp:keywords>P37r0n45DCS_InternalInternal</cp:keywords>
  <dc:description/>
  <cp:lastModifiedBy>Mohd Fairuz Bin Azman (IRQ/Upstream)</cp:lastModifiedBy>
  <cp:revision>1</cp:revision>
  <dcterms:created xsi:type="dcterms:W3CDTF">2020-03-10T09:24:00Z</dcterms:created>
  <dcterms:modified xsi:type="dcterms:W3CDTF">2020-03-10T09:48:00Z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4a643c45-6ece-40ab-bd53-632f5851c369</vt:lpwstr>
  </property>
  <property fmtid="{D5CDD505-2E9C-101B-9397-08002B2CF9AE}" pid="3" name="bjSaver">
    <vt:lpwstr>Yg/NziCcJQA8zNzWay4pAVh00scZ/lR9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policy="a894df29-9e07-45ae-95a6-4e7eb881815a" xmlns="http://www.boldonjames.com/2008/01/sie/i</vt:lpwstr>
  </property>
  <property fmtid="{D5CDD505-2E9C-101B-9397-08002B2CF9AE}" pid="5" name="bjDocumentLabelXML-0">
    <vt:lpwstr>nternal/label"&gt;&lt;element uid="fc6b8280-ed85-41e2-bcb5-17f2674e7dc3" value="" /&gt;&lt;element uid="63fe904a-5fdc-4578-a9e9-8bed5f54c116" value="" /&gt;&lt;element uid="156167bd-046a-459b-9d5a-a42ee179a501" value="" /&gt;&lt;/sisl&gt;</vt:lpwstr>
  </property>
  <property fmtid="{D5CDD505-2E9C-101B-9397-08002B2CF9AE}" pid="6" name="bjDocumentSecurityLabel">
    <vt:lpwstr>[Internal] </vt:lpwstr>
  </property>
  <property fmtid="{D5CDD505-2E9C-101B-9397-08002B2CF9AE}" pid="7" name="bjDocumentLabelFieldCode">
    <vt:lpwstr>[Internal] </vt:lpwstr>
  </property>
  <property fmtid="{D5CDD505-2E9C-101B-9397-08002B2CF9AE}" pid="8" name="bjDocumentLabelFieldCodeHeaderFooter">
    <vt:lpwstr>[Internal] </vt:lpwstr>
  </property>
  <property fmtid="{D5CDD505-2E9C-101B-9397-08002B2CF9AE}" pid="9" name="DCSMetadata">
    <vt:lpwstr>P37r0n45DCS_InternalInternal</vt:lpwstr>
  </property>
  <property fmtid="{D5CDD505-2E9C-101B-9397-08002B2CF9AE}" pid="10" name="bjFooterBothDocProperty">
    <vt:lpwstr>Internal</vt:lpwstr>
  </property>
  <property fmtid="{D5CDD505-2E9C-101B-9397-08002B2CF9AE}" pid="11" name="bjFooterFirstPageDocProperty">
    <vt:lpwstr>Internal</vt:lpwstr>
  </property>
  <property fmtid="{D5CDD505-2E9C-101B-9397-08002B2CF9AE}" pid="12" name="bjFooterEvenPageDocProperty">
    <vt:lpwstr>Internal</vt:lpwstr>
  </property>
</Properties>
</file>