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73E022" w14:textId="730C206A" w:rsidR="00925236" w:rsidRPr="00925236" w:rsidRDefault="00E822BC" w:rsidP="00494130">
      <w:pPr>
        <w:pStyle w:val="berschrift1"/>
        <w:spacing w:before="170"/>
        <w:ind w:left="0"/>
        <w:rPr>
          <w:color w:val="337AB7"/>
        </w:rPr>
      </w:pPr>
      <w:r>
        <w:rPr>
          <w:color w:val="337AB7"/>
        </w:rPr>
        <w:t>Estimating nickel exposure in respirable dust from nickel in inhalable dust</w:t>
      </w:r>
    </w:p>
    <w:p w14:paraId="2553AA7A" w14:textId="77777777" w:rsidR="00E822BC" w:rsidRPr="00E822BC" w:rsidRDefault="00E822BC" w:rsidP="00E822BC">
      <w:pPr>
        <w:pStyle w:val="Textkrper"/>
        <w:spacing w:before="73" w:line="198" w:lineRule="exact"/>
        <w:ind w:left="100" w:right="5987"/>
        <w:rPr>
          <w:rFonts w:ascii="Arial"/>
          <w:lang w:val="de-DE"/>
        </w:rPr>
      </w:pPr>
      <w:r w:rsidRPr="00E822BC">
        <w:rPr>
          <w:rFonts w:ascii="Arial"/>
          <w:lang w:val="de-DE"/>
        </w:rPr>
        <w:t>Cornelia Wippich,</w:t>
      </w:r>
      <w:r w:rsidR="005973B9" w:rsidRPr="00E822BC">
        <w:rPr>
          <w:rFonts w:ascii="Arial"/>
          <w:lang w:val="de-DE"/>
        </w:rPr>
        <w:t xml:space="preserve"> PhD</w:t>
      </w:r>
      <w:r w:rsidRPr="00E822BC">
        <w:rPr>
          <w:rFonts w:ascii="Arial"/>
          <w:lang w:val="de-DE"/>
        </w:rPr>
        <w:br/>
        <w:t>Dorothea Koppisch, PhD</w:t>
      </w:r>
      <w:r w:rsidRPr="00E822BC">
        <w:rPr>
          <w:rFonts w:ascii="Arial"/>
          <w:lang w:val="de-DE"/>
        </w:rPr>
        <w:br/>
        <w:t>Katrin Pitzke,</w:t>
      </w:r>
      <w:r w:rsidRPr="00E822BC">
        <w:rPr>
          <w:rFonts w:ascii="Arial"/>
          <w:lang w:val="de-DE"/>
        </w:rPr>
        <w:br/>
        <w:t>Dietmar Breuer, PhD</w:t>
      </w:r>
    </w:p>
    <w:p w14:paraId="456A4707" w14:textId="6B5B36D6" w:rsidR="005973B9" w:rsidRDefault="00E822BC" w:rsidP="00F209C9">
      <w:pPr>
        <w:pStyle w:val="Textkrper"/>
        <w:spacing w:before="73" w:line="198" w:lineRule="exact"/>
        <w:ind w:left="100" w:right="3319"/>
        <w:rPr>
          <w:rFonts w:ascii="Arial"/>
        </w:rPr>
      </w:pPr>
      <w:r>
        <w:rPr>
          <w:rFonts w:ascii="Arial"/>
        </w:rPr>
        <w:t>Institute for Occupational Safety and Health of the German Social Accident Insurance</w:t>
      </w:r>
      <w:r w:rsidR="005973B9">
        <w:rPr>
          <w:rFonts w:ascii="Arial"/>
        </w:rPr>
        <w:t xml:space="preserve">, </w:t>
      </w:r>
      <w:r>
        <w:rPr>
          <w:rFonts w:ascii="Arial"/>
        </w:rPr>
        <w:t>Sankt Augustin, Germany</w:t>
      </w:r>
    </w:p>
    <w:p w14:paraId="1933A6BF" w14:textId="77777777" w:rsidR="00AE3E37" w:rsidRDefault="00AE3E37">
      <w:pPr>
        <w:pStyle w:val="Textkrper"/>
        <w:rPr>
          <w:rFonts w:ascii="Arial"/>
          <w:sz w:val="20"/>
        </w:rPr>
      </w:pPr>
    </w:p>
    <w:p w14:paraId="6D90A0A3" w14:textId="77777777" w:rsidR="00AE3E37" w:rsidRDefault="00AE3E37">
      <w:pPr>
        <w:pStyle w:val="Textkrper"/>
        <w:spacing w:before="3"/>
        <w:rPr>
          <w:rFonts w:ascii="Arial"/>
          <w:sz w:val="21"/>
        </w:rPr>
      </w:pPr>
    </w:p>
    <w:p w14:paraId="606F705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E35C5CC" w14:textId="77777777" w:rsidR="00AE3E37" w:rsidRDefault="00A9710C">
      <w:pPr>
        <w:pStyle w:val="berschrift3"/>
        <w:spacing w:before="147"/>
        <w:jc w:val="both"/>
      </w:pPr>
      <w:r>
        <w:rPr>
          <w:color w:val="BF5A14"/>
        </w:rPr>
        <w:t>Abstract</w:t>
      </w:r>
      <w:r w:rsidR="00404E5B">
        <w:rPr>
          <w:color w:val="BF5A14"/>
        </w:rPr>
        <w:t xml:space="preserve"> (300 word limit)</w:t>
      </w:r>
    </w:p>
    <w:p w14:paraId="75DD24A7" w14:textId="2CF47580" w:rsidR="00E822BC" w:rsidRPr="00E822BC" w:rsidRDefault="00E822BC" w:rsidP="00E822BC">
      <w:pPr>
        <w:pStyle w:val="berschrift3"/>
        <w:spacing w:before="74"/>
        <w:rPr>
          <w:rFonts w:ascii="Tw Cen MT" w:eastAsia="Tw Cen MT" w:hAnsi="Tw Cen MT" w:cs="Tw Cen MT"/>
          <w:b w:val="0"/>
          <w:bCs w:val="0"/>
          <w:sz w:val="18"/>
          <w:szCs w:val="18"/>
        </w:rPr>
      </w:pPr>
      <w:r w:rsidRPr="00E822BC">
        <w:rPr>
          <w:rFonts w:ascii="Tw Cen MT" w:eastAsia="Tw Cen MT" w:hAnsi="Tw Cen MT" w:cs="Tw Cen MT"/>
          <w:b w:val="0"/>
          <w:bCs w:val="0"/>
          <w:sz w:val="18"/>
          <w:szCs w:val="18"/>
        </w:rPr>
        <w:t>At different workplaces, the dust exposure and associated metal constituents, e. g. nickel, can be immense, and can cause occupational diseases. They range from allergic reactions to different forms of cancer. From early years of exposure measurement, only data of nickel in one dust fraction (mainly inhalable instead of respirable and inhalable) were measured. For retrospective evaluations of exposure levels or of occupational diseases, this is problematic. For this purpose, it is desirable to convert nickel concentrations from inhalable to respirable dust. Therefore, a total of 234</w:t>
      </w:r>
      <w:r w:rsidR="00100EF7">
        <w:rPr>
          <w:rFonts w:ascii="Tw Cen MT" w:eastAsia="Tw Cen MT" w:hAnsi="Tw Cen MT" w:cs="Tw Cen MT"/>
          <w:b w:val="0"/>
          <w:bCs w:val="0"/>
          <w:sz w:val="18"/>
          <w:szCs w:val="18"/>
        </w:rPr>
        <w:t xml:space="preserve"> </w:t>
      </w:r>
      <w:r w:rsidRPr="00E822BC">
        <w:rPr>
          <w:rFonts w:ascii="Tw Cen MT" w:eastAsia="Tw Cen MT" w:hAnsi="Tw Cen MT" w:cs="Tw Cen MT"/>
          <w:b w:val="0"/>
          <w:bCs w:val="0"/>
          <w:sz w:val="18"/>
          <w:szCs w:val="18"/>
        </w:rPr>
        <w:t>202 respirable fraction measurements, 123 118 inhalable fraction measurements and 32 882 nickel measurements in total were extracted from the exposure database MEGA. After several parameters and restrictions (e.g. same industrial sector, working activity and sampling duration or type of sampling) were considered, 551 parallel measurements of nickel concentrations in inhalable (</w:t>
      </w:r>
      <m:oMath>
        <m:sSub>
          <m:sSubPr>
            <m:ctrlPr>
              <w:rPr>
                <w:rFonts w:ascii="Cambria Math" w:eastAsia="Tw Cen MT" w:hAnsi="Cambria Math" w:cs="Tw Cen MT"/>
                <w:b w:val="0"/>
                <w:bCs w:val="0"/>
                <w:i/>
                <w:sz w:val="18"/>
                <w:szCs w:val="18"/>
              </w:rPr>
            </m:ctrlPr>
          </m:sSubPr>
          <m:e>
            <m:r>
              <w:rPr>
                <w:rFonts w:ascii="Cambria Math" w:eastAsia="Tw Cen MT" w:hAnsi="Cambria Math" w:cs="Tw Cen MT"/>
                <w:sz w:val="18"/>
                <w:szCs w:val="18"/>
              </w:rPr>
              <m:t>c</m:t>
            </m:r>
          </m:e>
          <m:sub>
            <m:r>
              <w:rPr>
                <w:rFonts w:ascii="Cambria Math" w:eastAsia="Tw Cen MT" w:hAnsi="Cambria Math" w:cs="Tw Cen MT"/>
                <w:sz w:val="18"/>
                <w:szCs w:val="18"/>
              </w:rPr>
              <m:t>I(Ni)</m:t>
            </m:r>
          </m:sub>
        </m:sSub>
      </m:oMath>
      <w:r w:rsidRPr="00E822BC">
        <w:rPr>
          <w:rFonts w:ascii="Tw Cen MT" w:eastAsia="Tw Cen MT" w:hAnsi="Tw Cen MT" w:cs="Tw Cen MT"/>
          <w:b w:val="0"/>
          <w:bCs w:val="0"/>
          <w:sz w:val="18"/>
          <w:szCs w:val="18"/>
        </w:rPr>
        <w:t>) and respirable dust (</w:t>
      </w:r>
      <m:oMath>
        <m:sSub>
          <m:sSubPr>
            <m:ctrlPr>
              <w:rPr>
                <w:rFonts w:ascii="Cambria Math" w:eastAsia="Tw Cen MT" w:hAnsi="Cambria Math" w:cs="Tw Cen MT"/>
                <w:b w:val="0"/>
                <w:bCs w:val="0"/>
                <w:i/>
                <w:sz w:val="18"/>
                <w:szCs w:val="18"/>
              </w:rPr>
            </m:ctrlPr>
          </m:sSubPr>
          <m:e>
            <m:r>
              <w:rPr>
                <w:rFonts w:ascii="Cambria Math" w:eastAsia="Tw Cen MT" w:hAnsi="Cambria Math" w:cs="Tw Cen MT"/>
                <w:sz w:val="18"/>
                <w:szCs w:val="18"/>
              </w:rPr>
              <m:t>c</m:t>
            </m:r>
          </m:e>
          <m:sub>
            <m:r>
              <w:rPr>
                <w:rFonts w:ascii="Cambria Math" w:eastAsia="Tw Cen MT" w:hAnsi="Cambria Math" w:cs="Tw Cen MT"/>
                <w:sz w:val="18"/>
                <w:szCs w:val="18"/>
              </w:rPr>
              <m:t>R</m:t>
            </m:r>
            <m:r>
              <w:rPr>
                <w:rFonts w:ascii="Cambria Math" w:eastAsia="Tw Cen MT" w:hAnsi="Cambria Math" w:cs="Tw Cen MT"/>
                <w:sz w:val="18"/>
                <w:szCs w:val="18"/>
              </w:rPr>
              <m:t>(Ni)</m:t>
            </m:r>
          </m:sub>
        </m:sSub>
      </m:oMath>
      <w:r w:rsidRPr="00E822BC">
        <w:rPr>
          <w:rFonts w:ascii="Tw Cen MT" w:eastAsia="Tw Cen MT" w:hAnsi="Tw Cen MT" w:cs="Tw Cen MT"/>
          <w:b w:val="0"/>
          <w:bCs w:val="0"/>
          <w:sz w:val="18"/>
          <w:szCs w:val="18"/>
        </w:rPr>
        <w:t xml:space="preserve">) fractions from 2011 to 2020 could be determined and investigated by linear regression analysis. Inhalable dust is the most important predictor variable, showing an adj. R² of 0.767. To refine the conversion of nickel concentrations, the total dataset was divided into working activity groups ‘high temperature processing’, ’filling/transport/storage’, and ‘machining/abrasive techniques’. From these groups, more task-specific subgroups were formed: ‘welding (grinding time fraction [GTF] &lt; 5 %)’, ‘welding (GTF &gt; 5 %)’, ‘high temperature cutting’ and ‘grinding’. The nickel concentrations were transformed using the natural logarithm. For each group an individual conversion function with its relating confidence interval could be calculated. All conversion functions (except for ‘welding GTF &lt; 5 %’) are power functions with adj. R² between 0.628 and 0.924: </w:t>
      </w:r>
      <m:oMath>
        <m:sSub>
          <m:sSubPr>
            <m:ctrlPr>
              <w:rPr>
                <w:rFonts w:ascii="Cambria Math" w:eastAsia="Tw Cen MT" w:hAnsi="Cambria Math" w:cs="Tw Cen MT"/>
                <w:b w:val="0"/>
                <w:bCs w:val="0"/>
                <w:i/>
                <w:sz w:val="18"/>
                <w:szCs w:val="18"/>
              </w:rPr>
            </m:ctrlPr>
          </m:sSubPr>
          <m:e>
            <m:r>
              <w:rPr>
                <w:rFonts w:ascii="Cambria Math" w:eastAsia="Tw Cen MT" w:hAnsi="Cambria Math" w:cs="Tw Cen MT"/>
                <w:sz w:val="18"/>
                <w:szCs w:val="18"/>
              </w:rPr>
              <m:t>c</m:t>
            </m:r>
          </m:e>
          <m:sub>
            <m:r>
              <w:rPr>
                <w:rFonts w:ascii="Cambria Math" w:eastAsia="Tw Cen MT" w:hAnsi="Cambria Math" w:cs="Tw Cen MT"/>
                <w:sz w:val="18"/>
                <w:szCs w:val="18"/>
              </w:rPr>
              <m:t>R(Ni)</m:t>
            </m:r>
          </m:sub>
        </m:sSub>
        <m:r>
          <w:rPr>
            <w:rFonts w:ascii="Cambria Math" w:eastAsia="Tw Cen MT" w:hAnsi="Cambria Math" w:cs="Tw Cen MT"/>
            <w:sz w:val="18"/>
            <w:szCs w:val="18"/>
          </w:rPr>
          <m:t>=</m:t>
        </m:r>
        <m:sSup>
          <m:sSupPr>
            <m:ctrlPr>
              <w:rPr>
                <w:rFonts w:ascii="Cambria Math" w:eastAsia="Tw Cen MT" w:hAnsi="Cambria Math" w:cs="Tw Cen MT"/>
                <w:b w:val="0"/>
                <w:bCs w:val="0"/>
                <w:i/>
                <w:sz w:val="18"/>
                <w:szCs w:val="18"/>
              </w:rPr>
            </m:ctrlPr>
          </m:sSupPr>
          <m:e>
            <m:sSub>
              <m:sSubPr>
                <m:ctrlPr>
                  <w:rPr>
                    <w:rFonts w:ascii="Cambria Math" w:eastAsia="Tw Cen MT" w:hAnsi="Cambria Math" w:cs="Tw Cen MT"/>
                    <w:b w:val="0"/>
                    <w:bCs w:val="0"/>
                    <w:i/>
                    <w:sz w:val="18"/>
                    <w:szCs w:val="18"/>
                  </w:rPr>
                </m:ctrlPr>
              </m:sSubPr>
              <m:e>
                <m:r>
                  <w:rPr>
                    <w:rFonts w:ascii="Cambria Math" w:eastAsia="Tw Cen MT" w:hAnsi="Cambria Math" w:cs="Tw Cen MT"/>
                    <w:sz w:val="18"/>
                    <w:szCs w:val="18"/>
                  </w:rPr>
                  <m:t>c</m:t>
                </m:r>
              </m:e>
              <m:sub>
                <m:r>
                  <w:rPr>
                    <w:rFonts w:ascii="Cambria Math" w:eastAsia="Tw Cen MT" w:hAnsi="Cambria Math" w:cs="Tw Cen MT"/>
                    <w:sz w:val="18"/>
                    <w:szCs w:val="18"/>
                  </w:rPr>
                  <m:t>I(Ni)</m:t>
                </m:r>
              </m:sub>
            </m:sSub>
          </m:e>
          <m:sup>
            <m:r>
              <w:rPr>
                <w:rFonts w:ascii="Cambria Math" w:eastAsia="Tw Cen MT" w:hAnsi="Cambria Math" w:cs="Tw Cen MT"/>
                <w:sz w:val="18"/>
                <w:szCs w:val="18"/>
              </w:rPr>
              <m:t>k</m:t>
            </m:r>
          </m:sup>
        </m:sSup>
        <m:r>
          <w:rPr>
            <w:rFonts w:ascii="Cambria Math" w:eastAsia="Tw Cen MT" w:hAnsi="Cambria Math" w:cs="Tw Cen MT"/>
            <w:sz w:val="18"/>
            <w:szCs w:val="18"/>
          </w:rPr>
          <m:t>*</m:t>
        </m:r>
        <m:sSup>
          <m:sSupPr>
            <m:ctrlPr>
              <w:rPr>
                <w:rFonts w:ascii="Cambria Math" w:eastAsia="Tw Cen MT" w:hAnsi="Cambria Math" w:cs="Tw Cen MT"/>
                <w:b w:val="0"/>
                <w:bCs w:val="0"/>
                <w:i/>
                <w:sz w:val="18"/>
                <w:szCs w:val="18"/>
              </w:rPr>
            </m:ctrlPr>
          </m:sSupPr>
          <m:e>
            <m:r>
              <w:rPr>
                <w:rFonts w:ascii="Cambria Math" w:eastAsia="Tw Cen MT" w:hAnsi="Cambria Math" w:cs="Tw Cen MT"/>
                <w:sz w:val="18"/>
                <w:szCs w:val="18"/>
              </w:rPr>
              <m:t>e</m:t>
            </m:r>
          </m:e>
          <m:sup>
            <m:sSub>
              <m:sSubPr>
                <m:ctrlPr>
                  <w:rPr>
                    <w:rFonts w:ascii="Cambria Math" w:eastAsia="Tw Cen MT" w:hAnsi="Cambria Math" w:cs="Tw Cen MT"/>
                    <w:b w:val="0"/>
                    <w:bCs w:val="0"/>
                    <w:i/>
                    <w:sz w:val="18"/>
                    <w:szCs w:val="18"/>
                  </w:rPr>
                </m:ctrlPr>
              </m:sSubPr>
              <m:e>
                <m:r>
                  <w:rPr>
                    <w:rFonts w:ascii="Cambria Math" w:eastAsia="Tw Cen MT" w:hAnsi="Cambria Math" w:cs="Tw Cen MT"/>
                    <w:sz w:val="18"/>
                    <w:szCs w:val="18"/>
                  </w:rPr>
                  <m:t>C</m:t>
                </m:r>
              </m:e>
              <m:sub>
                <m:r>
                  <w:rPr>
                    <w:rFonts w:ascii="Cambria Math" w:eastAsia="Tw Cen MT" w:hAnsi="Cambria Math" w:cs="Tw Cen MT"/>
                    <w:sz w:val="18"/>
                    <w:szCs w:val="18"/>
                  </w:rPr>
                  <m:t>0</m:t>
                </m:r>
              </m:sub>
            </m:sSub>
          </m:sup>
        </m:sSup>
      </m:oMath>
      <w:r w:rsidRPr="00E822BC">
        <w:rPr>
          <w:rFonts w:ascii="Tw Cen MT" w:eastAsia="Tw Cen MT" w:hAnsi="Tw Cen MT" w:cs="Tw Cen MT"/>
          <w:b w:val="0"/>
          <w:bCs w:val="0"/>
          <w:sz w:val="18"/>
          <w:szCs w:val="18"/>
        </w:rPr>
        <w:t xml:space="preserve">, where </w:t>
      </w:r>
      <w:r w:rsidRPr="00E822BC">
        <w:rPr>
          <w:rFonts w:ascii="Tw Cen MT" w:eastAsia="Tw Cen MT" w:hAnsi="Tw Cen MT" w:cs="Tw Cen MT"/>
          <w:b w:val="0"/>
          <w:bCs w:val="0"/>
          <w:i/>
          <w:iCs/>
          <w:sz w:val="18"/>
          <w:szCs w:val="18"/>
        </w:rPr>
        <w:t>k</w:t>
      </w:r>
      <w:r w:rsidRPr="00E822BC">
        <w:rPr>
          <w:rFonts w:ascii="Tw Cen MT" w:eastAsia="Tw Cen MT" w:hAnsi="Tw Cen MT" w:cs="Tw Cen MT"/>
          <w:b w:val="0"/>
          <w:bCs w:val="0"/>
          <w:sz w:val="18"/>
          <w:szCs w:val="18"/>
        </w:rPr>
        <w:t xml:space="preserve"> and </w:t>
      </w:r>
      <w:r>
        <w:rPr>
          <w:rFonts w:ascii="Tw Cen MT" w:eastAsia="Tw Cen MT" w:hAnsi="Tw Cen MT" w:cs="Tw Cen MT"/>
          <w:b w:val="0"/>
          <w:bCs w:val="0"/>
          <w:sz w:val="18"/>
          <w:szCs w:val="18"/>
        </w:rPr>
        <w:t>C</w:t>
      </w:r>
      <w:r w:rsidRPr="00E822BC">
        <w:rPr>
          <w:rFonts w:ascii="Tw Cen MT" w:eastAsia="Tw Cen MT" w:hAnsi="Tw Cen MT" w:cs="Tw Cen MT"/>
          <w:b w:val="0"/>
          <w:bCs w:val="0"/>
          <w:sz w:val="18"/>
          <w:szCs w:val="18"/>
          <w:vertAlign w:val="subscript"/>
        </w:rPr>
        <w:t>0</w:t>
      </w:r>
      <w:r>
        <w:rPr>
          <w:rFonts w:ascii="Tw Cen MT" w:eastAsia="Tw Cen MT" w:hAnsi="Tw Cen MT" w:cs="Tw Cen MT"/>
          <w:b w:val="0"/>
          <w:bCs w:val="0"/>
          <w:sz w:val="18"/>
          <w:szCs w:val="18"/>
        </w:rPr>
        <w:t xml:space="preserve"> </w:t>
      </w:r>
      <w:r w:rsidRPr="00E822BC">
        <w:rPr>
          <w:rFonts w:ascii="Tw Cen MT" w:eastAsia="Tw Cen MT" w:hAnsi="Tw Cen MT" w:cs="Tw Cen MT"/>
          <w:b w:val="0"/>
          <w:bCs w:val="0"/>
          <w:sz w:val="18"/>
          <w:szCs w:val="18"/>
        </w:rPr>
        <w:t>are regression coefficients.</w:t>
      </w:r>
    </w:p>
    <w:p w14:paraId="60A471E8" w14:textId="03C1F932" w:rsidR="00AE3E37" w:rsidRDefault="00E822BC" w:rsidP="00E822BC">
      <w:pPr>
        <w:pStyle w:val="berschrift3"/>
        <w:spacing w:before="74"/>
      </w:pPr>
      <w:r w:rsidRPr="00E822BC">
        <w:rPr>
          <w:rFonts w:ascii="Tw Cen MT" w:eastAsia="Tw Cen MT" w:hAnsi="Tw Cen MT" w:cs="Tw Cen MT"/>
          <w:b w:val="0"/>
          <w:bCs w:val="0"/>
          <w:sz w:val="18"/>
          <w:szCs w:val="18"/>
        </w:rPr>
        <w:t xml:space="preserve">Thus, there is no linear correlation between </w:t>
      </w:r>
      <m:oMath>
        <m:sSub>
          <m:sSubPr>
            <m:ctrlPr>
              <w:rPr>
                <w:rFonts w:ascii="Cambria Math" w:eastAsia="Tw Cen MT" w:hAnsi="Cambria Math" w:cs="Tw Cen MT"/>
                <w:b w:val="0"/>
                <w:bCs w:val="0"/>
                <w:i/>
                <w:sz w:val="18"/>
                <w:szCs w:val="18"/>
              </w:rPr>
            </m:ctrlPr>
          </m:sSubPr>
          <m:e>
            <m:r>
              <w:rPr>
                <w:rFonts w:ascii="Cambria Math" w:eastAsia="Tw Cen MT" w:hAnsi="Cambria Math" w:cs="Tw Cen MT"/>
                <w:sz w:val="18"/>
                <w:szCs w:val="18"/>
              </w:rPr>
              <m:t>c</m:t>
            </m:r>
          </m:e>
          <m:sub>
            <m:r>
              <w:rPr>
                <w:rFonts w:ascii="Cambria Math" w:eastAsia="Tw Cen MT" w:hAnsi="Cambria Math" w:cs="Tw Cen MT"/>
                <w:sz w:val="18"/>
                <w:szCs w:val="18"/>
              </w:rPr>
              <m:t>R(Ni)</m:t>
            </m:r>
          </m:sub>
        </m:sSub>
      </m:oMath>
      <w:r>
        <w:rPr>
          <w:rFonts w:ascii="Tw Cen MT" w:eastAsia="Tw Cen MT" w:hAnsi="Tw Cen MT" w:cs="Tw Cen MT"/>
          <w:b w:val="0"/>
          <w:bCs w:val="0"/>
          <w:sz w:val="18"/>
          <w:szCs w:val="18"/>
        </w:rPr>
        <w:t xml:space="preserve"> </w:t>
      </w:r>
      <w:r w:rsidRPr="00E822BC">
        <w:rPr>
          <w:rFonts w:ascii="Tw Cen MT" w:eastAsia="Tw Cen MT" w:hAnsi="Tw Cen MT" w:cs="Tw Cen MT"/>
          <w:b w:val="0"/>
          <w:bCs w:val="0"/>
          <w:sz w:val="18"/>
          <w:szCs w:val="18"/>
        </w:rPr>
        <w:t>and</w:t>
      </w:r>
      <w:r>
        <w:rPr>
          <w:rFonts w:ascii="Tw Cen MT" w:eastAsia="Tw Cen MT" w:hAnsi="Tw Cen MT" w:cs="Tw Cen MT"/>
          <w:b w:val="0"/>
          <w:bCs w:val="0"/>
          <w:sz w:val="18"/>
          <w:szCs w:val="18"/>
        </w:rPr>
        <w:t xml:space="preserve"> </w:t>
      </w:r>
      <m:oMath>
        <m:sSub>
          <m:sSubPr>
            <m:ctrlPr>
              <w:rPr>
                <w:rFonts w:ascii="Cambria Math" w:eastAsia="Tw Cen MT" w:hAnsi="Cambria Math" w:cs="Tw Cen MT"/>
                <w:b w:val="0"/>
                <w:bCs w:val="0"/>
                <w:i/>
                <w:sz w:val="18"/>
                <w:szCs w:val="18"/>
              </w:rPr>
            </m:ctrlPr>
          </m:sSubPr>
          <m:e>
            <m:r>
              <w:rPr>
                <w:rFonts w:ascii="Cambria Math" w:eastAsia="Tw Cen MT" w:hAnsi="Cambria Math" w:cs="Tw Cen MT"/>
                <w:sz w:val="18"/>
                <w:szCs w:val="18"/>
              </w:rPr>
              <m:t>c</m:t>
            </m:r>
          </m:e>
          <m:sub>
            <m:r>
              <w:rPr>
                <w:rFonts w:ascii="Cambria Math" w:eastAsia="Tw Cen MT" w:hAnsi="Cambria Math" w:cs="Tw Cen MT"/>
                <w:sz w:val="18"/>
                <w:szCs w:val="18"/>
              </w:rPr>
              <m:t>I</m:t>
            </m:r>
            <m:r>
              <w:rPr>
                <w:rFonts w:ascii="Cambria Math" w:eastAsia="Tw Cen MT" w:hAnsi="Cambria Math" w:cs="Tw Cen MT"/>
                <w:sz w:val="18"/>
                <w:szCs w:val="18"/>
              </w:rPr>
              <m:t>(Ni)</m:t>
            </m:r>
          </m:sub>
        </m:sSub>
      </m:oMath>
      <w:r w:rsidRPr="00E822BC">
        <w:rPr>
          <w:rFonts w:ascii="Tw Cen MT" w:eastAsia="Tw Cen MT" w:hAnsi="Tw Cen MT" w:cs="Tw Cen MT"/>
          <w:b w:val="0"/>
          <w:bCs w:val="0"/>
          <w:sz w:val="18"/>
          <w:szCs w:val="18"/>
        </w:rPr>
        <w:t>, no single conversion factor and the conversion must always refer to the individual workplace.</w:t>
      </w:r>
      <w:r w:rsidR="00A9710C">
        <w:rPr>
          <w:b w:val="0"/>
        </w:rPr>
        <w:br w:type="column"/>
      </w:r>
      <w:r w:rsidR="00A9710C">
        <w:rPr>
          <w:color w:val="BF5A14"/>
        </w:rPr>
        <w:t>Image</w:t>
      </w:r>
    </w:p>
    <w:p w14:paraId="1FB2B517" w14:textId="4365A0DB" w:rsidR="00AE3E37" w:rsidRDefault="00FA19B4">
      <w:pPr>
        <w:pStyle w:val="Textkrper"/>
        <w:spacing w:before="2"/>
        <w:rPr>
          <w:rFonts w:ascii="Arial"/>
          <w:b/>
          <w:sz w:val="16"/>
        </w:rPr>
      </w:pPr>
      <w:r>
        <w:rPr>
          <w:rFonts w:ascii="Arial"/>
          <w:b/>
          <w:noProof/>
          <w:sz w:val="16"/>
        </w:rPr>
        <w:drawing>
          <wp:inline distT="0" distB="0" distL="0" distR="0" wp14:anchorId="209A8306" wp14:editId="24A03BC0">
            <wp:extent cx="3370119" cy="1711757"/>
            <wp:effectExtent l="0" t="0" r="190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biLevel thresh="75000"/>
                      <a:extLst>
                        <a:ext uri="{28A0092B-C50C-407E-A947-70E740481C1C}">
                          <a14:useLocalDpi xmlns:a14="http://schemas.microsoft.com/office/drawing/2010/main" val="0"/>
                        </a:ext>
                      </a:extLst>
                    </a:blip>
                    <a:srcRect l="4619" r="3608" b="10432"/>
                    <a:stretch/>
                  </pic:blipFill>
                  <pic:spPr bwMode="auto">
                    <a:xfrm>
                      <a:off x="0" y="0"/>
                      <a:ext cx="3391340" cy="1722536"/>
                    </a:xfrm>
                    <a:prstGeom prst="rect">
                      <a:avLst/>
                    </a:prstGeom>
                    <a:noFill/>
                    <a:ln>
                      <a:noFill/>
                    </a:ln>
                    <a:extLst>
                      <a:ext uri="{53640926-AAD7-44D8-BBD7-CCE9431645EC}">
                        <a14:shadowObscured xmlns:a14="http://schemas.microsoft.com/office/drawing/2010/main"/>
                      </a:ext>
                    </a:extLst>
                  </pic:spPr>
                </pic:pic>
              </a:graphicData>
            </a:graphic>
          </wp:inline>
        </w:drawing>
      </w:r>
    </w:p>
    <w:p w14:paraId="25D9E4BC" w14:textId="2B4B9871" w:rsidR="005973B9" w:rsidRDefault="000C310D" w:rsidP="005973B9">
      <w:pPr>
        <w:spacing w:line="204" w:lineRule="exact"/>
        <w:rPr>
          <w:rFonts w:ascii="Arial"/>
          <w:b/>
          <w:sz w:val="20"/>
        </w:rPr>
      </w:pPr>
      <w:r>
        <w:rPr>
          <w:sz w:val="18"/>
          <w:szCs w:val="18"/>
        </w:rPr>
        <w:t>Image 1: Possible regression functions with correlation of respirable and inhalable dust after back transformation</w:t>
      </w:r>
      <w:r>
        <w:rPr>
          <w:sz w:val="18"/>
          <w:szCs w:val="18"/>
        </w:rPr>
        <w:br/>
      </w:r>
      <w:r w:rsidR="005973B9">
        <w:rPr>
          <w:rFonts w:ascii="Arial"/>
          <w:b/>
          <w:color w:val="BF5A14"/>
          <w:sz w:val="20"/>
        </w:rPr>
        <w:br/>
        <w:t>Recent Publications</w:t>
      </w:r>
    </w:p>
    <w:p w14:paraId="3328CEAC" w14:textId="672FBB21" w:rsidR="005973B9" w:rsidRPr="000C310D" w:rsidRDefault="00100EF7" w:rsidP="005973B9">
      <w:pPr>
        <w:pStyle w:val="Listenabsatz"/>
        <w:numPr>
          <w:ilvl w:val="0"/>
          <w:numId w:val="3"/>
        </w:numPr>
        <w:tabs>
          <w:tab w:val="left" w:pos="384"/>
        </w:tabs>
        <w:spacing w:before="103" w:line="216" w:lineRule="exact"/>
        <w:ind w:right="138" w:hanging="283"/>
        <w:rPr>
          <w:rFonts w:ascii="Tw Cen MT" w:eastAsia="Tw Cen MT" w:hAnsi="Tw Cen MT" w:cs="Tw Cen MT"/>
          <w:sz w:val="18"/>
          <w:szCs w:val="18"/>
        </w:rPr>
      </w:pPr>
      <w:r w:rsidRPr="000C310D">
        <w:rPr>
          <w:rFonts w:ascii="Tw Cen MT" w:eastAsia="Tw Cen MT" w:hAnsi="Tw Cen MT" w:cs="Tw Cen MT"/>
          <w:sz w:val="18"/>
          <w:szCs w:val="18"/>
        </w:rPr>
        <w:t>Wippich</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et al.</w:t>
      </w:r>
      <w:r w:rsidR="005973B9" w:rsidRPr="000C310D">
        <w:rPr>
          <w:rFonts w:ascii="Tw Cen MT" w:eastAsia="Tw Cen MT" w:hAnsi="Tw Cen MT" w:cs="Tw Cen MT"/>
          <w:sz w:val="18"/>
          <w:szCs w:val="18"/>
        </w:rPr>
        <w:t xml:space="preserve"> (20</w:t>
      </w:r>
      <w:r w:rsidRPr="000C310D">
        <w:rPr>
          <w:rFonts w:ascii="Tw Cen MT" w:eastAsia="Tw Cen MT" w:hAnsi="Tw Cen MT" w:cs="Tw Cen MT"/>
          <w:sz w:val="18"/>
          <w:szCs w:val="18"/>
        </w:rPr>
        <w:t>21</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Estimating nickel exposure in respirable dust from nickel in inhalable dust</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International Journal of Hygiene and Environmental Health;</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238</w:t>
      </w:r>
      <w:r w:rsidR="005973B9" w:rsidRPr="000C310D">
        <w:rPr>
          <w:rFonts w:ascii="Tw Cen MT" w:eastAsia="Tw Cen MT" w:hAnsi="Tw Cen MT" w:cs="Tw Cen MT"/>
          <w:sz w:val="18"/>
          <w:szCs w:val="18"/>
        </w:rPr>
        <w:t>.</w:t>
      </w:r>
    </w:p>
    <w:p w14:paraId="3F8D762D" w14:textId="36D9D53B" w:rsidR="005973B9" w:rsidRPr="000C310D" w:rsidRDefault="00100EF7" w:rsidP="005973B9">
      <w:pPr>
        <w:pStyle w:val="Listenabsatz"/>
        <w:numPr>
          <w:ilvl w:val="0"/>
          <w:numId w:val="3"/>
        </w:numPr>
        <w:tabs>
          <w:tab w:val="left" w:pos="384"/>
        </w:tabs>
        <w:spacing w:line="216" w:lineRule="exact"/>
        <w:ind w:right="137" w:hanging="283"/>
        <w:rPr>
          <w:rFonts w:ascii="Tw Cen MT" w:eastAsia="Tw Cen MT" w:hAnsi="Tw Cen MT" w:cs="Tw Cen MT"/>
          <w:sz w:val="18"/>
          <w:szCs w:val="18"/>
        </w:rPr>
      </w:pPr>
      <w:r w:rsidRPr="000C310D">
        <w:rPr>
          <w:rFonts w:ascii="Tw Cen MT" w:eastAsia="Tw Cen MT" w:hAnsi="Tw Cen MT" w:cs="Tw Cen MT"/>
          <w:sz w:val="18"/>
          <w:szCs w:val="18"/>
        </w:rPr>
        <w:t>Wippich et al.</w:t>
      </w:r>
      <w:r w:rsidR="005973B9" w:rsidRPr="000C310D">
        <w:rPr>
          <w:rFonts w:ascii="Tw Cen MT" w:eastAsia="Tw Cen MT" w:hAnsi="Tw Cen MT" w:cs="Tw Cen MT"/>
          <w:sz w:val="18"/>
          <w:szCs w:val="18"/>
        </w:rPr>
        <w:t xml:space="preserve"> (20</w:t>
      </w:r>
      <w:r w:rsidRPr="000C310D">
        <w:rPr>
          <w:rFonts w:ascii="Tw Cen MT" w:eastAsia="Tw Cen MT" w:hAnsi="Tw Cen MT" w:cs="Tw Cen MT"/>
          <w:sz w:val="18"/>
          <w:szCs w:val="18"/>
        </w:rPr>
        <w:t>20</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Estimating Respirable Dust Exposure from Inhalable Dust Exposure</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Annals of Work Exposures and Health</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64</w:t>
      </w:r>
      <w:r w:rsidR="005973B9" w:rsidRPr="000C310D">
        <w:rPr>
          <w:rFonts w:ascii="Tw Cen MT" w:eastAsia="Tw Cen MT" w:hAnsi="Tw Cen MT" w:cs="Tw Cen MT"/>
          <w:sz w:val="18"/>
          <w:szCs w:val="18"/>
        </w:rPr>
        <w:t>:</w:t>
      </w:r>
      <w:r w:rsidRPr="000C310D">
        <w:rPr>
          <w:rFonts w:ascii="Tw Cen MT" w:eastAsia="Tw Cen MT" w:hAnsi="Tw Cen MT" w:cs="Tw Cen MT"/>
          <w:sz w:val="18"/>
          <w:szCs w:val="18"/>
        </w:rPr>
        <w:t>430</w:t>
      </w:r>
      <w:r w:rsidR="005973B9" w:rsidRPr="000C310D">
        <w:rPr>
          <w:rFonts w:ascii="Tw Cen MT" w:eastAsia="Tw Cen MT" w:hAnsi="Tw Cen MT" w:cs="Tw Cen MT"/>
          <w:sz w:val="18"/>
          <w:szCs w:val="18"/>
        </w:rPr>
        <w:t>-</w:t>
      </w:r>
      <w:r w:rsidRPr="000C310D">
        <w:rPr>
          <w:rFonts w:ascii="Tw Cen MT" w:eastAsia="Tw Cen MT" w:hAnsi="Tw Cen MT" w:cs="Tw Cen MT"/>
          <w:sz w:val="18"/>
          <w:szCs w:val="18"/>
        </w:rPr>
        <w:t>444</w:t>
      </w:r>
      <w:r w:rsidR="005973B9" w:rsidRPr="000C310D">
        <w:rPr>
          <w:rFonts w:ascii="Tw Cen MT" w:eastAsia="Tw Cen MT" w:hAnsi="Tw Cen MT" w:cs="Tw Cen MT"/>
          <w:sz w:val="18"/>
          <w:szCs w:val="18"/>
        </w:rPr>
        <w:t>.</w:t>
      </w:r>
    </w:p>
    <w:p w14:paraId="30FB6016" w14:textId="549A1ABA" w:rsidR="005973B9" w:rsidRPr="000C310D" w:rsidRDefault="00100EF7" w:rsidP="005973B9">
      <w:pPr>
        <w:pStyle w:val="Listenabsatz"/>
        <w:numPr>
          <w:ilvl w:val="0"/>
          <w:numId w:val="3"/>
        </w:numPr>
        <w:tabs>
          <w:tab w:val="left" w:pos="384"/>
        </w:tabs>
        <w:spacing w:line="216" w:lineRule="exact"/>
        <w:ind w:right="138" w:hanging="283"/>
        <w:rPr>
          <w:rFonts w:ascii="Tw Cen MT" w:eastAsia="Tw Cen MT" w:hAnsi="Tw Cen MT" w:cs="Tw Cen MT"/>
          <w:sz w:val="18"/>
          <w:szCs w:val="18"/>
        </w:rPr>
      </w:pPr>
      <w:r w:rsidRPr="000C310D">
        <w:rPr>
          <w:rFonts w:ascii="Tw Cen MT" w:eastAsia="Tw Cen MT" w:hAnsi="Tw Cen MT" w:cs="Tw Cen MT"/>
          <w:sz w:val="18"/>
          <w:szCs w:val="18"/>
        </w:rPr>
        <w:t xml:space="preserve">Wippich et al. </w:t>
      </w:r>
      <w:r w:rsidR="005973B9" w:rsidRPr="000C310D">
        <w:rPr>
          <w:rFonts w:ascii="Tw Cen MT" w:eastAsia="Tw Cen MT" w:hAnsi="Tw Cen MT" w:cs="Tw Cen MT"/>
          <w:sz w:val="18"/>
          <w:szCs w:val="18"/>
        </w:rPr>
        <w:t>(2</w:t>
      </w:r>
      <w:r w:rsidRPr="000C310D">
        <w:rPr>
          <w:rFonts w:ascii="Tw Cen MT" w:eastAsia="Tw Cen MT" w:hAnsi="Tw Cen MT" w:cs="Tw Cen MT"/>
          <w:sz w:val="18"/>
          <w:szCs w:val="18"/>
        </w:rPr>
        <w:t>019</w:t>
      </w:r>
      <w:r w:rsidR="005973B9" w:rsidRPr="000C310D">
        <w:rPr>
          <w:rFonts w:ascii="Tw Cen MT" w:eastAsia="Tw Cen MT" w:hAnsi="Tw Cen MT" w:cs="Tw Cen MT"/>
          <w:sz w:val="18"/>
          <w:szCs w:val="18"/>
        </w:rPr>
        <w:t>)</w:t>
      </w:r>
      <w:r w:rsidRPr="000C310D">
        <w:rPr>
          <w:rFonts w:ascii="Tw Cen MT" w:eastAsia="Tw Cen MT" w:hAnsi="Tw Cen MT" w:cs="Tw Cen MT"/>
          <w:sz w:val="18"/>
          <w:szCs w:val="18"/>
        </w:rPr>
        <w:t xml:space="preserve"> Möglichkeit zur Umrechnung der Konzentration von einatembarem in alveolengängigen Staub</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Gefahrstoffe – Reinhaltung der Luft</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79</w:t>
      </w:r>
      <w:r w:rsidR="005973B9" w:rsidRPr="000C310D">
        <w:rPr>
          <w:rFonts w:ascii="Tw Cen MT" w:eastAsia="Tw Cen MT" w:hAnsi="Tw Cen MT" w:cs="Tw Cen MT"/>
          <w:sz w:val="18"/>
          <w:szCs w:val="18"/>
        </w:rPr>
        <w:t>:</w:t>
      </w:r>
      <w:r w:rsidRPr="000C310D">
        <w:rPr>
          <w:rFonts w:ascii="Tw Cen MT" w:eastAsia="Tw Cen MT" w:hAnsi="Tw Cen MT" w:cs="Tw Cen MT"/>
          <w:sz w:val="18"/>
          <w:szCs w:val="18"/>
        </w:rPr>
        <w:t xml:space="preserve"> 303-311</w:t>
      </w:r>
      <w:r w:rsidR="005973B9" w:rsidRPr="000C310D">
        <w:rPr>
          <w:rFonts w:ascii="Tw Cen MT" w:eastAsia="Tw Cen MT" w:hAnsi="Tw Cen MT" w:cs="Tw Cen MT"/>
          <w:sz w:val="18"/>
          <w:szCs w:val="18"/>
        </w:rPr>
        <w:t>.</w:t>
      </w:r>
    </w:p>
    <w:p w14:paraId="36A1E743" w14:textId="33A6F661" w:rsidR="005973B9" w:rsidRPr="000C310D" w:rsidRDefault="00100EF7" w:rsidP="005973B9">
      <w:pPr>
        <w:pStyle w:val="Listenabsatz"/>
        <w:numPr>
          <w:ilvl w:val="0"/>
          <w:numId w:val="3"/>
        </w:numPr>
        <w:tabs>
          <w:tab w:val="left" w:pos="384"/>
        </w:tabs>
        <w:spacing w:before="92" w:line="218" w:lineRule="exact"/>
        <w:ind w:hanging="283"/>
        <w:rPr>
          <w:rFonts w:ascii="Tw Cen MT" w:eastAsia="Tw Cen MT" w:hAnsi="Tw Cen MT" w:cs="Tw Cen MT"/>
          <w:sz w:val="18"/>
          <w:szCs w:val="18"/>
        </w:rPr>
      </w:pPr>
      <w:r w:rsidRPr="000C310D">
        <w:rPr>
          <w:rFonts w:ascii="Tw Cen MT" w:eastAsia="Tw Cen MT" w:hAnsi="Tw Cen MT" w:cs="Tw Cen MT"/>
          <w:sz w:val="18"/>
          <w:szCs w:val="18"/>
        </w:rPr>
        <w:t>Wippich C.</w:t>
      </w:r>
      <w:r w:rsidR="005973B9" w:rsidRPr="000C310D">
        <w:rPr>
          <w:rFonts w:ascii="Tw Cen MT" w:eastAsia="Tw Cen MT" w:hAnsi="Tw Cen MT" w:cs="Tw Cen MT"/>
          <w:sz w:val="18"/>
          <w:szCs w:val="18"/>
        </w:rPr>
        <w:t xml:space="preserve"> (2</w:t>
      </w:r>
      <w:r w:rsidRPr="000C310D">
        <w:rPr>
          <w:rFonts w:ascii="Tw Cen MT" w:eastAsia="Tw Cen MT" w:hAnsi="Tw Cen MT" w:cs="Tw Cen MT"/>
          <w:sz w:val="18"/>
          <w:szCs w:val="18"/>
        </w:rPr>
        <w:t>021</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Umrechnungsmöglichkeiten von einatembaren in alveolengängigen Staub und deren metallischen Inhaltsstoffen (Teil 3 von 3)</w:t>
      </w:r>
      <w:r w:rsidR="005973B9" w:rsidRPr="000C310D">
        <w:rPr>
          <w:rFonts w:ascii="Tw Cen MT" w:eastAsia="Tw Cen MT" w:hAnsi="Tw Cen MT" w:cs="Tw Cen MT"/>
          <w:sz w:val="18"/>
          <w:szCs w:val="18"/>
        </w:rPr>
        <w:t xml:space="preserve">. </w:t>
      </w:r>
      <w:r w:rsidRPr="000C310D">
        <w:rPr>
          <w:rFonts w:ascii="Tw Cen MT" w:eastAsia="Tw Cen MT" w:hAnsi="Tw Cen MT" w:cs="Tw Cen MT"/>
          <w:sz w:val="18"/>
          <w:szCs w:val="18"/>
        </w:rPr>
        <w:t>Sicher ist sicher – Arbeitsschutz aktuell</w:t>
      </w:r>
    </w:p>
    <w:p w14:paraId="7C31C2D0" w14:textId="083409A0" w:rsidR="005973B9" w:rsidRPr="000C310D" w:rsidRDefault="00A97A3E" w:rsidP="005973B9">
      <w:pPr>
        <w:pStyle w:val="Textkrper"/>
        <w:spacing w:line="218" w:lineRule="exact"/>
        <w:ind w:left="383"/>
      </w:pPr>
      <w:r w:rsidRPr="000C310D">
        <w:t>72</w:t>
      </w:r>
      <w:r w:rsidR="005973B9" w:rsidRPr="000C310D">
        <w:t xml:space="preserve">: </w:t>
      </w:r>
      <w:r w:rsidRPr="000C310D">
        <w:t>35-38</w:t>
      </w:r>
      <w:r w:rsidR="005973B9" w:rsidRPr="000C310D">
        <w:t>.</w:t>
      </w:r>
    </w:p>
    <w:p w14:paraId="1C0B9EB9" w14:textId="6EA894E0" w:rsidR="005973B9" w:rsidRPr="000C310D" w:rsidRDefault="00A97A3E" w:rsidP="00A97A3E">
      <w:pPr>
        <w:pStyle w:val="Textkrper"/>
        <w:numPr>
          <w:ilvl w:val="0"/>
          <w:numId w:val="3"/>
        </w:numPr>
        <w:spacing w:before="85" w:line="216" w:lineRule="exact"/>
        <w:ind w:right="138"/>
        <w:jc w:val="both"/>
      </w:pPr>
      <w:r w:rsidRPr="000C310D">
        <w:t>Breuer, Dospil, Heckmann, Wippich (2021) Empfindlichkeit von Messverfahren: Grundsätzliches zur Bestimmungsgrenze. Gefahrstoffe – Reinhaltung der Luft 81:327-331</w:t>
      </w:r>
    </w:p>
    <w:p w14:paraId="04D4EE1C" w14:textId="77777777" w:rsidR="00AE3E37" w:rsidRPr="00A97A3E" w:rsidRDefault="00AE3E37" w:rsidP="008756E6">
      <w:pPr>
        <w:tabs>
          <w:tab w:val="left" w:pos="384"/>
        </w:tabs>
        <w:ind w:right="117"/>
        <w:rPr>
          <w:lang w:val="de-DE"/>
        </w:rPr>
      </w:pPr>
    </w:p>
    <w:p w14:paraId="77BF65E9" w14:textId="77777777" w:rsidR="00AE3E37" w:rsidRPr="00A97A3E" w:rsidRDefault="008756E6">
      <w:pPr>
        <w:spacing w:line="200" w:lineRule="exact"/>
        <w:jc w:val="both"/>
        <w:rPr>
          <w:rFonts w:ascii="Calibri" w:hAnsi="Calibri"/>
          <w:lang w:val="de-DE"/>
        </w:rPr>
        <w:sectPr w:rsidR="00AE3E37" w:rsidRPr="00A97A3E">
          <w:type w:val="continuous"/>
          <w:pgSz w:w="11910" w:h="16840"/>
          <w:pgMar w:top="1740" w:right="600" w:bottom="840" w:left="620" w:header="720" w:footer="720" w:gutter="0"/>
          <w:cols w:num="2" w:space="720" w:equalWidth="0">
            <w:col w:w="5214" w:space="138"/>
            <w:col w:w="5338"/>
          </w:cols>
        </w:sectPr>
      </w:pPr>
      <w:r w:rsidRPr="00A97A3E">
        <w:rPr>
          <w:rFonts w:ascii="Calibri" w:hAnsi="Calibri"/>
          <w:lang w:val="de-DE"/>
        </w:rPr>
        <w:t xml:space="preserve">   </w:t>
      </w:r>
    </w:p>
    <w:p w14:paraId="04B58F43" w14:textId="77777777" w:rsidR="00AE3E37" w:rsidRPr="00A97A3E" w:rsidRDefault="00AE3E37">
      <w:pPr>
        <w:pStyle w:val="Textkrper"/>
        <w:rPr>
          <w:rFonts w:ascii="Calibri"/>
          <w:sz w:val="20"/>
          <w:lang w:val="de-DE"/>
        </w:rPr>
      </w:pPr>
    </w:p>
    <w:p w14:paraId="4445BB4E" w14:textId="77777777" w:rsidR="00AE3E37" w:rsidRDefault="00292ED9">
      <w:pPr>
        <w:pStyle w:val="Textkrper"/>
        <w:spacing w:line="40" w:lineRule="exact"/>
        <w:ind w:left="2202"/>
        <w:rPr>
          <w:rFonts w:ascii="Calibri"/>
          <w:sz w:val="4"/>
        </w:rPr>
      </w:pPr>
      <w:r>
        <w:rPr>
          <w:rFonts w:ascii="Calibri"/>
          <w:noProof/>
          <w:sz w:val="4"/>
          <w:lang w:val="en-IN" w:eastAsia="en-IN"/>
        </w:rPr>
        <mc:AlternateContent>
          <mc:Choice Requires="wpg">
            <w:drawing>
              <wp:inline distT="0" distB="0" distL="0" distR="0" wp14:anchorId="0992716A" wp14:editId="521599D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71DC3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38796AA" w14:textId="2E59B73B" w:rsidR="00AE3E37" w:rsidRPr="000C310D" w:rsidRDefault="000C310D" w:rsidP="000C310D">
      <w:pPr>
        <w:spacing w:before="92"/>
        <w:ind w:right="4234"/>
        <w:jc w:val="both"/>
        <w:rPr>
          <w:noProof/>
        </w:rPr>
      </w:pPr>
      <w:r>
        <w:rPr>
          <w:rFonts w:ascii="Arial" w:hAnsi="Arial" w:cs="Arial"/>
          <w:b/>
          <w:noProof/>
          <w:u w:val="single"/>
          <w:lang w:eastAsia="en-IN"/>
        </w:rPr>
        <w:drawing>
          <wp:anchor distT="0" distB="0" distL="114300" distR="114300" simplePos="0" relativeHeight="251658240" behindDoc="0" locked="0" layoutInCell="1" allowOverlap="1" wp14:anchorId="5F41EEF7" wp14:editId="18E18959">
            <wp:simplePos x="0" y="0"/>
            <wp:positionH relativeFrom="column">
              <wp:posOffset>154940</wp:posOffset>
            </wp:positionH>
            <wp:positionV relativeFrom="paragraph">
              <wp:posOffset>59690</wp:posOffset>
            </wp:positionV>
            <wp:extent cx="1000125" cy="166243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00125" cy="1662430"/>
                    </a:xfrm>
                    <a:prstGeom prst="rect">
                      <a:avLst/>
                    </a:prstGeom>
                    <a:noFill/>
                    <a:ln>
                      <a:noFill/>
                    </a:ln>
                  </pic:spPr>
                </pic:pic>
              </a:graphicData>
            </a:graphic>
          </wp:anchor>
        </w:drawing>
      </w:r>
      <w:r w:rsidR="00A9710C">
        <w:rPr>
          <w:rFonts w:ascii="Arial"/>
          <w:color w:val="BF5A14"/>
        </w:rPr>
        <w:t>Biography</w:t>
      </w:r>
    </w:p>
    <w:p w14:paraId="7CB39070" w14:textId="77777777" w:rsidR="004405DD" w:rsidRDefault="00E876DF" w:rsidP="00E876DF">
      <w:pPr>
        <w:spacing w:before="62"/>
        <w:ind w:left="1985" w:right="58"/>
        <w:jc w:val="both"/>
        <w:rPr>
          <w:rFonts w:ascii="Arial"/>
          <w:sz w:val="14"/>
        </w:rPr>
      </w:pPr>
      <w:r w:rsidRPr="00E876DF">
        <w:rPr>
          <w:rFonts w:ascii="Arial"/>
          <w:sz w:val="14"/>
        </w:rPr>
        <w:t>Cornelia Wippich graduated in 2016 with a master</w:t>
      </w:r>
      <w:r w:rsidRPr="00E876DF">
        <w:rPr>
          <w:rFonts w:ascii="Arial"/>
          <w:sz w:val="14"/>
        </w:rPr>
        <w:t>’</w:t>
      </w:r>
      <w:r w:rsidRPr="00E876DF">
        <w:rPr>
          <w:rFonts w:ascii="Arial"/>
          <w:sz w:val="14"/>
        </w:rPr>
        <w:t>s degree in analytical chemistry and quality assurance at the University of Applied Sciences Bonn-Rhein-</w:t>
      </w:r>
      <w:proofErr w:type="spellStart"/>
      <w:r w:rsidRPr="00E876DF">
        <w:rPr>
          <w:rFonts w:ascii="Arial"/>
          <w:sz w:val="14"/>
        </w:rPr>
        <w:t>Sieg</w:t>
      </w:r>
      <w:proofErr w:type="spellEnd"/>
      <w:r w:rsidRPr="00E876DF">
        <w:rPr>
          <w:rFonts w:ascii="Arial"/>
          <w:sz w:val="14"/>
        </w:rPr>
        <w:t>, Germany. As a part of her doctoral thesis, she conducted research on the conversion of inhalable and respirable dust and metal dust constituents in different industry sectors. Since 2019 Ms. Wippich is working as a scientific employee in the section metal analysis at the Institute for Occupational Safety and Health of the German Social Accident Insurance.</w:t>
      </w:r>
    </w:p>
    <w:p w14:paraId="4B6CCF9B" w14:textId="77777777" w:rsidR="004405DD" w:rsidRDefault="004405DD" w:rsidP="00E876DF">
      <w:pPr>
        <w:spacing w:before="62"/>
        <w:ind w:left="1985" w:right="58"/>
        <w:jc w:val="both"/>
        <w:rPr>
          <w:rFonts w:ascii="Arial"/>
          <w:sz w:val="14"/>
        </w:rPr>
      </w:pPr>
    </w:p>
    <w:p w14:paraId="21F387FD" w14:textId="0FB91BD1" w:rsidR="00AE3E37" w:rsidRDefault="00A9710C" w:rsidP="00E876DF">
      <w:pPr>
        <w:spacing w:before="62"/>
        <w:ind w:left="1985" w:right="58"/>
        <w:jc w:val="both"/>
        <w:rPr>
          <w:rFonts w:ascii="Arial"/>
          <w:sz w:val="14"/>
        </w:rPr>
      </w:pPr>
      <w:r>
        <w:rPr>
          <w:rFonts w:ascii="Arial"/>
          <w:sz w:val="14"/>
        </w:rPr>
        <w:t>Email:</w:t>
      </w:r>
      <w:r w:rsidR="000C310D">
        <w:rPr>
          <w:rFonts w:ascii="Arial"/>
          <w:sz w:val="14"/>
        </w:rPr>
        <w:t xml:space="preserve"> cornelia.wippich@dguv.de</w:t>
      </w:r>
    </w:p>
    <w:p w14:paraId="16B4B979" w14:textId="77777777" w:rsidR="00AE3E37" w:rsidRDefault="00292ED9">
      <w:pPr>
        <w:pStyle w:val="Textkrper"/>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B4411C8" wp14:editId="2D6B1F6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D316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E3C1227" w14:textId="77777777" w:rsidR="00AE3E37" w:rsidRDefault="00AE3E37">
      <w:pPr>
        <w:pStyle w:val="Textkrper"/>
        <w:rPr>
          <w:rFonts w:ascii="Arial"/>
          <w:sz w:val="20"/>
        </w:rPr>
      </w:pPr>
    </w:p>
    <w:p w14:paraId="48D24BC4" w14:textId="77777777" w:rsidR="00AE3E37" w:rsidRDefault="00AE3E37">
      <w:pPr>
        <w:pStyle w:val="Textkrper"/>
        <w:spacing w:before="7"/>
        <w:rPr>
          <w:rFonts w:ascii="Arial"/>
          <w:sz w:val="29"/>
        </w:rPr>
      </w:pPr>
    </w:p>
    <w:p w14:paraId="1FA22354" w14:textId="42D7150C" w:rsidR="00AE3E37" w:rsidRPr="000C310D" w:rsidRDefault="00A9710C" w:rsidP="000C310D">
      <w:pPr>
        <w:spacing w:before="39"/>
        <w:ind w:left="100"/>
        <w:rPr>
          <w:rFonts w:ascii="Minion Pro"/>
          <w:b/>
          <w:sz w:val="20"/>
        </w:rPr>
        <w:sectPr w:rsidR="00AE3E37" w:rsidRPr="000C310D">
          <w:type w:val="continuous"/>
          <w:pgSz w:w="11910" w:h="16840"/>
          <w:pgMar w:top="1740" w:right="600" w:bottom="840" w:left="620" w:header="720" w:footer="720" w:gutter="0"/>
          <w:cols w:space="720"/>
        </w:sectPr>
      </w:pPr>
      <w:r w:rsidRPr="00B21A57">
        <w:rPr>
          <w:rFonts w:ascii="Minion Pro"/>
          <w:b/>
          <w:sz w:val="20"/>
        </w:rPr>
        <w:t>Notes/Comments</w:t>
      </w:r>
    </w:p>
    <w:p w14:paraId="2A320D22" w14:textId="77777777" w:rsidR="00AE3E37" w:rsidRDefault="00AE3E37">
      <w:pPr>
        <w:pStyle w:val="Textkrper"/>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3E001F" w14:textId="77777777" w:rsidR="000465E7" w:rsidRDefault="000465E7">
      <w:r>
        <w:separator/>
      </w:r>
    </w:p>
  </w:endnote>
  <w:endnote w:type="continuationSeparator" w:id="0">
    <w:p w14:paraId="4150AF87" w14:textId="77777777" w:rsidR="000465E7" w:rsidRDefault="00046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13790" w14:textId="77777777" w:rsidR="00AE3E37" w:rsidRDefault="00292ED9">
    <w:pPr>
      <w:pStyle w:val="Textkrper"/>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D1A6AFC" wp14:editId="4986F6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A73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3633A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1A6AFC"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064A734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3633A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9993206" wp14:editId="6520F4F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C89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4B899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9320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0C9C89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C4B899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C62409B" wp14:editId="20555FD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52E9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89A8A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2409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3C752E9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89A8A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2F9CDF" w14:textId="77777777" w:rsidR="000465E7" w:rsidRDefault="000465E7">
      <w:r>
        <w:separator/>
      </w:r>
    </w:p>
  </w:footnote>
  <w:footnote w:type="continuationSeparator" w:id="0">
    <w:p w14:paraId="01C456D4" w14:textId="77777777" w:rsidR="000465E7" w:rsidRDefault="00046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55876" w14:textId="77777777" w:rsidR="00AE3E37" w:rsidRDefault="00AE3E37">
    <w:pPr>
      <w:pStyle w:val="Textkrper"/>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65E7"/>
    <w:rsid w:val="000C310D"/>
    <w:rsid w:val="000C329C"/>
    <w:rsid w:val="000E2911"/>
    <w:rsid w:val="00100EF7"/>
    <w:rsid w:val="001263DF"/>
    <w:rsid w:val="00292ED9"/>
    <w:rsid w:val="00404E5B"/>
    <w:rsid w:val="00414F7B"/>
    <w:rsid w:val="004355DC"/>
    <w:rsid w:val="004405DD"/>
    <w:rsid w:val="004749B4"/>
    <w:rsid w:val="00494130"/>
    <w:rsid w:val="004F3523"/>
    <w:rsid w:val="005973B9"/>
    <w:rsid w:val="005B3A56"/>
    <w:rsid w:val="006060CE"/>
    <w:rsid w:val="0063497F"/>
    <w:rsid w:val="00802E3F"/>
    <w:rsid w:val="00830E07"/>
    <w:rsid w:val="00873DF0"/>
    <w:rsid w:val="008756E6"/>
    <w:rsid w:val="00925236"/>
    <w:rsid w:val="009B2D44"/>
    <w:rsid w:val="00A07E82"/>
    <w:rsid w:val="00A9710C"/>
    <w:rsid w:val="00A97A3E"/>
    <w:rsid w:val="00AE3E37"/>
    <w:rsid w:val="00B21A57"/>
    <w:rsid w:val="00B91720"/>
    <w:rsid w:val="00C33602"/>
    <w:rsid w:val="00CD6F55"/>
    <w:rsid w:val="00DE3104"/>
    <w:rsid w:val="00E822BC"/>
    <w:rsid w:val="00E876DF"/>
    <w:rsid w:val="00F209C9"/>
    <w:rsid w:val="00F55252"/>
    <w:rsid w:val="00F72EEA"/>
    <w:rsid w:val="00F84CAE"/>
    <w:rsid w:val="00FA19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55FDAC"/>
  <w15:docId w15:val="{56860807-EE4F-4FBF-91E8-73F0D9450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character" w:styleId="Platzhaltertext">
    <w:name w:val="Placeholder Text"/>
    <w:basedOn w:val="Absatz-Standardschriftart"/>
    <w:uiPriority w:val="99"/>
    <w:semiHidden/>
    <w:rsid w:val="00E822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545</Words>
  <Characters>3440</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Wippich, Cornelia</cp:lastModifiedBy>
  <cp:revision>2</cp:revision>
  <dcterms:created xsi:type="dcterms:W3CDTF">2022-01-04T11:56:00Z</dcterms:created>
  <dcterms:modified xsi:type="dcterms:W3CDTF">2022-01-04T11:56:00Z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