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033" w:rsidRPr="005A5FE5" w:rsidRDefault="005E4033" w:rsidP="005E4033">
      <w:pPr>
        <w:spacing w:line="256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eastAsia="en-GB"/>
        </w:rPr>
      </w:pPr>
    </w:p>
    <w:p w:rsidR="005E4033" w:rsidRPr="005A5FE5" w:rsidRDefault="00DE57D3" w:rsidP="006D51B7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</w:pPr>
      <w:proofErr w:type="spellStart"/>
      <w:r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>Letrozole</w:t>
      </w:r>
      <w:proofErr w:type="spellEnd"/>
      <w:r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 xml:space="preserve"> </w:t>
      </w:r>
      <w:r w:rsidR="005A5FE5"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>Therapy for</w:t>
      </w:r>
      <w:r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 xml:space="preserve"> </w:t>
      </w:r>
      <w:proofErr w:type="spellStart"/>
      <w:r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>Geastagen</w:t>
      </w:r>
      <w:proofErr w:type="spellEnd"/>
      <w:r w:rsidRPr="005A5FE5">
        <w:rPr>
          <w:rFonts w:ascii="Times New Roman" w:eastAsia="Calibri" w:hAnsi="Times New Roman" w:cs="Times New Roman"/>
          <w:b/>
          <w:bCs/>
          <w:color w:val="C00000"/>
          <w:sz w:val="28"/>
          <w:szCs w:val="28"/>
          <w:lang w:bidi="ar-EG"/>
        </w:rPr>
        <w:t xml:space="preserve"> Resistant Endometrial Hyperplasia</w:t>
      </w:r>
    </w:p>
    <w:p w:rsidR="00DE57D3" w:rsidRPr="00DE57D3" w:rsidRDefault="00DE57D3" w:rsidP="005E4033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C00000"/>
          <w:sz w:val="32"/>
          <w:szCs w:val="32"/>
          <w:lang w:bidi="ar-EG"/>
        </w:rPr>
      </w:pPr>
    </w:p>
    <w:p w:rsidR="00DE57D3" w:rsidRDefault="00DE57D3" w:rsidP="00DE57D3">
      <w:pPr>
        <w:spacing w:line="360" w:lineRule="auto"/>
        <w:jc w:val="center"/>
        <w:rPr>
          <w:rFonts w:ascii="Calibri" w:eastAsia="Calibri" w:hAnsi="Calibri" w:cs="Calibri"/>
          <w:b/>
          <w:sz w:val="24"/>
          <w:vertAlign w:val="superscript"/>
        </w:rPr>
      </w:pPr>
      <w:r w:rsidRPr="00DE57D3"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  <w:t xml:space="preserve">Ibrahim </w:t>
      </w:r>
      <w:proofErr w:type="spellStart"/>
      <w:proofErr w:type="gramStart"/>
      <w:r w:rsidRPr="00DE57D3"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  <w:t>A.Albahlol</w:t>
      </w:r>
      <w:proofErr w:type="spellEnd"/>
      <w:proofErr w:type="gramEnd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  <w:t>,</w:t>
      </w:r>
      <w:r w:rsidRPr="00DE57D3">
        <w:rPr>
          <w:rFonts w:ascii="Calibri" w:eastAsia="Calibri" w:hAnsi="Calibri" w:cs="Calibri"/>
          <w:b/>
          <w:sz w:val="24"/>
          <w:vertAlign w:val="superscript"/>
        </w:rPr>
        <w:t xml:space="preserve"> </w:t>
      </w:r>
    </w:p>
    <w:p w:rsidR="00DE57D3" w:rsidRPr="00DE57D3" w:rsidRDefault="00DE57D3" w:rsidP="00DE57D3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</w:pPr>
      <w:r w:rsidRPr="00AC2D06">
        <w:rPr>
          <w:rFonts w:ascii="Calibri" w:eastAsia="Calibri" w:hAnsi="Calibri" w:cs="Calibri"/>
          <w:b/>
          <w:sz w:val="24"/>
          <w:vertAlign w:val="superscript"/>
        </w:rPr>
        <w:t xml:space="preserve">Department of Obstetrics and </w:t>
      </w:r>
      <w:proofErr w:type="spellStart"/>
      <w:proofErr w:type="gramStart"/>
      <w:r w:rsidRPr="00AC2D06">
        <w:rPr>
          <w:rFonts w:ascii="Calibri" w:eastAsia="Calibri" w:hAnsi="Calibri" w:cs="Calibri"/>
          <w:b/>
          <w:sz w:val="24"/>
          <w:vertAlign w:val="superscript"/>
        </w:rPr>
        <w:t>Gynecology,College</w:t>
      </w:r>
      <w:proofErr w:type="spellEnd"/>
      <w:proofErr w:type="gramEnd"/>
      <w:r w:rsidRPr="00AC2D06">
        <w:rPr>
          <w:rFonts w:ascii="Calibri" w:eastAsia="Calibri" w:hAnsi="Calibri" w:cs="Calibri"/>
          <w:b/>
          <w:sz w:val="24"/>
          <w:vertAlign w:val="superscript"/>
        </w:rPr>
        <w:t xml:space="preserve"> of Medicine, </w:t>
      </w:r>
      <w:proofErr w:type="spellStart"/>
      <w:r w:rsidRPr="00AC2D06">
        <w:rPr>
          <w:rFonts w:ascii="Calibri" w:eastAsia="Calibri" w:hAnsi="Calibri" w:cs="Calibri"/>
          <w:b/>
          <w:sz w:val="24"/>
          <w:vertAlign w:val="superscript"/>
        </w:rPr>
        <w:t>Jouf</w:t>
      </w:r>
      <w:proofErr w:type="spellEnd"/>
      <w:r w:rsidRPr="00AC2D06">
        <w:rPr>
          <w:rFonts w:ascii="Calibri" w:eastAsia="Calibri" w:hAnsi="Calibri" w:cs="Calibri"/>
          <w:b/>
          <w:sz w:val="24"/>
          <w:vertAlign w:val="superscript"/>
        </w:rPr>
        <w:t xml:space="preserve"> </w:t>
      </w:r>
      <w:proofErr w:type="spellStart"/>
      <w:r w:rsidRPr="00AC2D06">
        <w:rPr>
          <w:rFonts w:ascii="Calibri" w:eastAsia="Calibri" w:hAnsi="Calibri" w:cs="Calibri"/>
          <w:b/>
          <w:sz w:val="24"/>
          <w:vertAlign w:val="superscript"/>
        </w:rPr>
        <w:t>University,KSA,Mansoura</w:t>
      </w:r>
      <w:proofErr w:type="spellEnd"/>
      <w:r w:rsidRPr="00AC2D06">
        <w:rPr>
          <w:rFonts w:ascii="Calibri" w:eastAsia="Calibri" w:hAnsi="Calibri" w:cs="Calibri"/>
          <w:b/>
          <w:sz w:val="24"/>
          <w:vertAlign w:val="superscript"/>
        </w:rPr>
        <w:t xml:space="preserve"> </w:t>
      </w:r>
      <w:proofErr w:type="spellStart"/>
      <w:r w:rsidRPr="00AC2D06">
        <w:rPr>
          <w:rFonts w:ascii="Calibri" w:eastAsia="Calibri" w:hAnsi="Calibri" w:cs="Calibri"/>
          <w:b/>
          <w:sz w:val="24"/>
          <w:vertAlign w:val="superscript"/>
        </w:rPr>
        <w:t>University,Egypt</w:t>
      </w:r>
      <w:proofErr w:type="spellEnd"/>
    </w:p>
    <w:p w:rsidR="005E4033" w:rsidRPr="00DD4BE7" w:rsidRDefault="005E4033" w:rsidP="005E4033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lang w:val="en-US" w:eastAsia="en-GB"/>
        </w:rPr>
        <w:t>Objectives</w:t>
      </w:r>
      <w:r w:rsidRPr="00DD4BE7">
        <w:rPr>
          <w:rFonts w:asciiTheme="majorBidi" w:eastAsia="Times New Roman" w:hAnsiTheme="majorBidi" w:cstheme="majorBidi"/>
          <w:sz w:val="24"/>
          <w:szCs w:val="24"/>
          <w:u w:val="single"/>
          <w:lang w:eastAsia="en-GB"/>
        </w:rPr>
        <w:t>:</w:t>
      </w:r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Evaluation of the efficacy of </w:t>
      </w:r>
      <w:proofErr w:type="spellStart"/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>letrozole</w:t>
      </w:r>
      <w:proofErr w:type="spellEnd"/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as a treatment for endometrial hyperplasia without atypia not responding to </w:t>
      </w:r>
      <w:proofErr w:type="spellStart"/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>gestagen</w:t>
      </w:r>
      <w:proofErr w:type="spellEnd"/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therapy beside the outcome of two doses different regimens. </w:t>
      </w:r>
    </w:p>
    <w:p w:rsidR="005E4033" w:rsidRPr="00DD4BE7" w:rsidRDefault="005E4033" w:rsidP="00DE57D3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M</w:t>
      </w:r>
      <w:r w:rsidRPr="00DD4BE7">
        <w:rPr>
          <w:rFonts w:asciiTheme="majorBidi" w:hAnsiTheme="majorBidi" w:cstheme="majorBidi"/>
          <w:b/>
          <w:bCs/>
          <w:sz w:val="24"/>
          <w:szCs w:val="24"/>
          <w:u w:val="single"/>
        </w:rPr>
        <w:t>ethods</w:t>
      </w:r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: </w:t>
      </w:r>
      <w:r w:rsidRPr="00DD4BE7">
        <w:rPr>
          <w:rFonts w:asciiTheme="majorBidi" w:hAnsiTheme="majorBidi" w:cstheme="majorBidi"/>
          <w:sz w:val="24"/>
          <w:szCs w:val="24"/>
        </w:rPr>
        <w:t xml:space="preserve">This prospective randomized study was </w:t>
      </w:r>
      <w:r w:rsidR="00DE57D3">
        <w:rPr>
          <w:rFonts w:asciiTheme="majorBidi" w:hAnsiTheme="majorBidi" w:cstheme="majorBidi"/>
          <w:sz w:val="24"/>
          <w:szCs w:val="24"/>
        </w:rPr>
        <w:t>carried out</w:t>
      </w:r>
      <w:r w:rsidRPr="00DD4BE7">
        <w:rPr>
          <w:rFonts w:asciiTheme="majorBidi" w:hAnsiTheme="majorBidi" w:cstheme="majorBidi"/>
          <w:sz w:val="24"/>
          <w:szCs w:val="24"/>
        </w:rPr>
        <w:t xml:space="preserve"> at Mansoura University Hospital, department of Obstetrics &amp; Gynaecology. A total of 46 women diagnosed with simple endometrial hyperplasia without atypia with failed </w:t>
      </w:r>
      <w:proofErr w:type="spellStart"/>
      <w:r w:rsidRPr="00DD4BE7">
        <w:rPr>
          <w:rFonts w:asciiTheme="majorBidi" w:hAnsiTheme="majorBidi" w:cstheme="majorBidi"/>
          <w:sz w:val="24"/>
          <w:szCs w:val="24"/>
        </w:rPr>
        <w:t>gestagen</w:t>
      </w:r>
      <w:proofErr w:type="spellEnd"/>
      <w:r w:rsidRPr="00DD4BE7">
        <w:rPr>
          <w:rFonts w:asciiTheme="majorBidi" w:hAnsiTheme="majorBidi" w:cstheme="majorBidi"/>
          <w:sz w:val="24"/>
          <w:szCs w:val="24"/>
        </w:rPr>
        <w:t xml:space="preserve"> therapy were enrolled</w:t>
      </w:r>
      <w:proofErr w:type="gramStart"/>
      <w:r w:rsidRPr="00DD4BE7">
        <w:rPr>
          <w:rFonts w:asciiTheme="majorBidi" w:hAnsiTheme="majorBidi" w:cstheme="majorBidi"/>
          <w:sz w:val="24"/>
          <w:szCs w:val="24"/>
        </w:rPr>
        <w:t>. .</w:t>
      </w:r>
      <w:proofErr w:type="gramEnd"/>
      <w:r w:rsidRPr="00DD4BE7">
        <w:rPr>
          <w:rFonts w:asciiTheme="majorBidi" w:hAnsiTheme="majorBidi" w:cstheme="majorBidi"/>
          <w:sz w:val="24"/>
          <w:szCs w:val="24"/>
        </w:rPr>
        <w:t xml:space="preserve"> Eligible participants who met the inclusion and exclusion criteria were randomly assigned to either: Group A included 20 patients who received </w:t>
      </w:r>
      <w:proofErr w:type="spellStart"/>
      <w:r w:rsidRPr="00DD4BE7">
        <w:rPr>
          <w:rFonts w:asciiTheme="majorBidi" w:hAnsiTheme="majorBidi" w:cstheme="majorBidi"/>
          <w:sz w:val="24"/>
          <w:szCs w:val="24"/>
        </w:rPr>
        <w:t>letrozole</w:t>
      </w:r>
      <w:proofErr w:type="spellEnd"/>
      <w:r w:rsidRPr="00DD4BE7">
        <w:rPr>
          <w:rFonts w:asciiTheme="majorBidi" w:hAnsiTheme="majorBidi" w:cstheme="majorBidi"/>
          <w:sz w:val="24"/>
          <w:szCs w:val="24"/>
        </w:rPr>
        <w:t xml:space="preserve">   in a dose of 2.5 mg daily for 3 months by non-stop regimen. Group B included 20 patients who received </w:t>
      </w:r>
      <w:proofErr w:type="spellStart"/>
      <w:r w:rsidRPr="00DD4BE7">
        <w:rPr>
          <w:rFonts w:asciiTheme="majorBidi" w:hAnsiTheme="majorBidi" w:cstheme="majorBidi"/>
          <w:sz w:val="24"/>
          <w:szCs w:val="24"/>
        </w:rPr>
        <w:t>letrozole</w:t>
      </w:r>
      <w:proofErr w:type="spellEnd"/>
      <w:r w:rsidRPr="00DD4BE7">
        <w:rPr>
          <w:rFonts w:asciiTheme="majorBidi" w:hAnsiTheme="majorBidi" w:cstheme="majorBidi"/>
          <w:sz w:val="24"/>
          <w:szCs w:val="24"/>
        </w:rPr>
        <w:t xml:space="preserve">; in a dose of 5 mg daily (2.5mg twice daily) for 3 months by non-stop regimen  </w:t>
      </w:r>
      <w:r w:rsidRPr="00DD4BE7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</w:t>
      </w:r>
    </w:p>
    <w:p w:rsidR="005E4033" w:rsidRPr="00DD4BE7" w:rsidRDefault="005E4033" w:rsidP="005E403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D4BE7">
        <w:rPr>
          <w:rFonts w:asciiTheme="majorBidi" w:hAnsiTheme="majorBidi" w:cstheme="majorBidi"/>
          <w:b/>
          <w:bCs/>
          <w:sz w:val="24"/>
          <w:szCs w:val="24"/>
          <w:u w:val="single"/>
        </w:rPr>
        <w:t>Results</w:t>
      </w:r>
      <w:r w:rsidRPr="00DD4BE7">
        <w:rPr>
          <w:rFonts w:asciiTheme="majorBidi" w:hAnsiTheme="majorBidi" w:cstheme="majorBidi"/>
          <w:sz w:val="24"/>
          <w:szCs w:val="24"/>
        </w:rPr>
        <w:t>: Complete resolution occurred in 17 patients in group A (89.5 %) and 17 patients in group B (94.4 %). Static disease occurred in 3 patients, 2 from group A (10.5 %) and 1 patient from group B. These 3 patients were advised to continue on the same regimen for another 3 months, one of them (from group A) underwent hysterectomy on her own request, and   the other two did not improve and underwent hysterectomy.</w:t>
      </w:r>
    </w:p>
    <w:p w:rsidR="005E4033" w:rsidRPr="00DD4BE7" w:rsidRDefault="005E4033" w:rsidP="005E4033">
      <w:pPr>
        <w:spacing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D4BE7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Conclusion</w:t>
      </w:r>
      <w:r w:rsidRPr="00DD4BE7">
        <w:rPr>
          <w:rFonts w:asciiTheme="majorBidi" w:hAnsiTheme="majorBidi" w:cstheme="majorBidi"/>
          <w:color w:val="000000"/>
          <w:sz w:val="24"/>
          <w:szCs w:val="24"/>
          <w:u w:val="single"/>
        </w:rPr>
        <w:t>:</w:t>
      </w:r>
      <w:r w:rsidRPr="00DD4BE7">
        <w:rPr>
          <w:rFonts w:asciiTheme="majorBidi" w:hAnsiTheme="majorBidi" w:cstheme="majorBidi"/>
          <w:color w:val="000000"/>
          <w:sz w:val="24"/>
          <w:szCs w:val="24"/>
        </w:rPr>
        <w:t xml:space="preserve">  patients with simple endometrial hyperplasia without atypia with failed </w:t>
      </w:r>
      <w:proofErr w:type="spellStart"/>
      <w:r w:rsidRPr="00DD4BE7">
        <w:rPr>
          <w:rFonts w:asciiTheme="majorBidi" w:hAnsiTheme="majorBidi" w:cstheme="majorBidi"/>
          <w:color w:val="000000"/>
          <w:sz w:val="24"/>
          <w:szCs w:val="24"/>
        </w:rPr>
        <w:t>Gestagen</w:t>
      </w:r>
      <w:proofErr w:type="spellEnd"/>
      <w:r w:rsidRPr="00DD4BE7">
        <w:rPr>
          <w:rFonts w:asciiTheme="majorBidi" w:hAnsiTheme="majorBidi" w:cstheme="majorBidi"/>
          <w:color w:val="000000"/>
          <w:sz w:val="24"/>
          <w:szCs w:val="24"/>
        </w:rPr>
        <w:t xml:space="preserve"> therapy can be managed successfully with </w:t>
      </w:r>
      <w:proofErr w:type="spellStart"/>
      <w:r w:rsidRPr="00DD4BE7">
        <w:rPr>
          <w:rFonts w:asciiTheme="majorBidi" w:hAnsiTheme="majorBidi" w:cstheme="majorBidi"/>
          <w:color w:val="000000"/>
          <w:sz w:val="24"/>
          <w:szCs w:val="24"/>
        </w:rPr>
        <w:t>Letrozole</w:t>
      </w:r>
      <w:proofErr w:type="spellEnd"/>
      <w:r w:rsidRPr="00DD4BE7">
        <w:rPr>
          <w:rFonts w:asciiTheme="majorBidi" w:hAnsiTheme="majorBidi" w:cstheme="majorBidi"/>
          <w:color w:val="000000"/>
          <w:sz w:val="24"/>
          <w:szCs w:val="24"/>
        </w:rPr>
        <w:t>. Both dose regimens succeeded in management   with no significant difference between them as regard the clinical, radiological or histological outcome. However, the second dose group B (5 mg) was associated with hi</w:t>
      </w:r>
      <w:r>
        <w:rPr>
          <w:rFonts w:asciiTheme="majorBidi" w:hAnsiTheme="majorBidi" w:cstheme="majorBidi"/>
          <w:color w:val="000000"/>
          <w:sz w:val="24"/>
          <w:szCs w:val="24"/>
        </w:rPr>
        <w:t>gher side effects</w:t>
      </w:r>
      <w:r w:rsidRPr="00DD4BE7">
        <w:rPr>
          <w:rFonts w:asciiTheme="majorBidi" w:hAnsiTheme="majorBidi" w:cstheme="majorBidi"/>
          <w:color w:val="000000"/>
          <w:sz w:val="24"/>
          <w:szCs w:val="24"/>
        </w:rPr>
        <w:t>, cost and less patient compliance, so, group A (2.5 mg) is preferred.</w:t>
      </w:r>
    </w:p>
    <w:p w:rsidR="005E4033" w:rsidRDefault="005E4033" w:rsidP="005E4033">
      <w:pPr>
        <w:shd w:val="clear" w:color="auto" w:fill="FFFFFF"/>
        <w:spacing w:before="166" w:after="166" w:line="360" w:lineRule="auto"/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</w:pPr>
      <w:r w:rsidRPr="00DD4BE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  <w:lang w:eastAsia="en-GB"/>
        </w:rPr>
        <w:t>Key Words</w:t>
      </w:r>
      <w:r w:rsidRPr="00DD4BE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en-GB"/>
        </w:rPr>
        <w:t xml:space="preserve">: </w:t>
      </w:r>
      <w:proofErr w:type="spellStart"/>
      <w:r w:rsidRPr="00DD4BE7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>letrozole</w:t>
      </w:r>
      <w:proofErr w:type="spellEnd"/>
      <w:r w:rsidRPr="00DD4BE7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 xml:space="preserve">, </w:t>
      </w:r>
      <w:proofErr w:type="spellStart"/>
      <w:proofErr w:type="gramStart"/>
      <w:r w:rsidRPr="00DD4BE7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>endomet.hyperplasia</w:t>
      </w:r>
      <w:proofErr w:type="spellEnd"/>
      <w:proofErr w:type="gramEnd"/>
      <w:r w:rsidRPr="00DD4BE7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>.</w:t>
      </w:r>
    </w:p>
    <w:bookmarkStart w:id="0" w:name="_GoBack"/>
    <w:p w:rsidR="00A64E00" w:rsidRPr="00DD4BE7" w:rsidRDefault="00A64E00" w:rsidP="005E4033">
      <w:pPr>
        <w:shd w:val="clear" w:color="auto" w:fill="FFFFFF"/>
        <w:spacing w:before="166" w:after="166" w:line="360" w:lineRule="auto"/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</w:pPr>
      <w:r w:rsidRPr="00A64E00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object w:dxaOrig="9360" w:dyaOrig="88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42.5pt" o:ole="">
            <v:imagedata r:id="rId4" o:title=""/>
          </v:shape>
          <o:OLEObject Type="Embed" ProgID="Word.Document.12" ShapeID="_x0000_i1025" DrawAspect="Content" ObjectID="_1639487627" r:id="rId5">
            <o:FieldCodes>\s</o:FieldCodes>
          </o:OLEObject>
        </w:object>
      </w:r>
      <w:bookmarkEnd w:id="0"/>
    </w:p>
    <w:p w:rsidR="00543EA4" w:rsidRDefault="00543EA4"/>
    <w:sectPr w:rsidR="00543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33"/>
    <w:rsid w:val="00543EA4"/>
    <w:rsid w:val="005A5FE5"/>
    <w:rsid w:val="005E4033"/>
    <w:rsid w:val="006D51B7"/>
    <w:rsid w:val="00A64E00"/>
    <w:rsid w:val="00DE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1CCB"/>
  <w15:chartTrackingRefBased/>
  <w15:docId w15:val="{D66F5F23-3E04-4E0C-9AD6-BB036E6E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03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Abdelkhalek Ibrahim Elbahloul</dc:creator>
  <cp:keywords/>
  <dc:description/>
  <cp:lastModifiedBy>Ibrahim Abdelkhalek Ibrahim Elbahloul</cp:lastModifiedBy>
  <cp:revision>5</cp:revision>
  <dcterms:created xsi:type="dcterms:W3CDTF">2020-01-02T10:58:00Z</dcterms:created>
  <dcterms:modified xsi:type="dcterms:W3CDTF">2020-01-02T13:27:00Z</dcterms:modified>
</cp:coreProperties>
</file>