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b/>
          <w:bCs/>
          <w:sz w:val="32"/>
          <w:szCs w:val="32"/>
          <w:lang w:val="en-IN"/>
        </w:rPr>
      </w:pPr>
      <w:r>
        <w:rPr>
          <w:rFonts w:hint="default" w:ascii="Times New Roman" w:hAnsi="Times New Roman" w:cs="Times New Roman"/>
          <w:b/>
          <w:bCs/>
          <w:sz w:val="32"/>
          <w:szCs w:val="32"/>
          <w:lang w:val="en-IN"/>
        </w:rPr>
        <w:t>Metabolic dysregulation in acute Sars-Cov-2 infection</w:t>
      </w:r>
      <w:bookmarkStart w:id="1" w:name="_GoBack"/>
      <w:bookmarkEnd w:id="1"/>
    </w:p>
    <w:p>
      <w:pPr>
        <w:rPr>
          <w:rFonts w:hint="default" w:ascii="Times New Roman" w:hAnsi="Times New Roman" w:cs="Times New Roman"/>
          <w:b w:val="0"/>
          <w:bCs w:val="0"/>
          <w:sz w:val="24"/>
          <w:szCs w:val="24"/>
          <w:lang w:val="en-IN"/>
        </w:rPr>
      </w:pPr>
      <w:r>
        <w:rPr>
          <w:rFonts w:hint="default" w:ascii="Times New Roman" w:hAnsi="Times New Roman" w:cs="Times New Roman"/>
          <w:b w:val="0"/>
          <w:bCs w:val="0"/>
          <w:sz w:val="24"/>
          <w:szCs w:val="24"/>
          <w:lang w:val="en-IN"/>
        </w:rPr>
        <w:t>Ramachandran Muthiah</w:t>
      </w:r>
    </w:p>
    <w:p>
      <w:pPr>
        <w:rPr>
          <w:rFonts w:hint="default" w:ascii="Times New Roman" w:hAnsi="Times New Roman" w:cs="Times New Roman"/>
          <w:b w:val="0"/>
          <w:bCs w:val="0"/>
          <w:sz w:val="24"/>
          <w:szCs w:val="24"/>
          <w:lang w:val="en-IN"/>
        </w:rPr>
      </w:pPr>
      <w:r>
        <w:rPr>
          <w:rFonts w:hint="default" w:ascii="Times New Roman" w:hAnsi="Times New Roman" w:cs="Times New Roman"/>
          <w:b w:val="0"/>
          <w:bCs w:val="0"/>
          <w:sz w:val="24"/>
          <w:szCs w:val="24"/>
          <w:lang w:val="en-IN"/>
        </w:rPr>
        <w:t>Morning star hospital, Marthandam, Kanyalumari District, India</w:t>
      </w:r>
    </w:p>
    <w:p>
      <w:pPr>
        <w:rPr>
          <w:rFonts w:hint="default" w:ascii="Times New Roman" w:hAnsi="Times New Roman" w:cs="Times New Roman"/>
          <w:sz w:val="28"/>
          <w:szCs w:val="28"/>
          <w:lang w:val="en-IN"/>
        </w:rPr>
      </w:pPr>
    </w:p>
    <w:p>
      <w:pPr>
        <w:ind w:firstLine="240" w:firstLineChars="100"/>
        <w:jc w:val="both"/>
        <w:rPr>
          <w:rFonts w:hint="default" w:ascii="Times New Roman" w:hAnsi="Times New Roman" w:eastAsia="Georgia" w:cs="Times New Roman"/>
          <w:i w:val="0"/>
          <w:iCs w:val="0"/>
          <w:caps w:val="0"/>
          <w:color w:val="2E2E2E"/>
          <w:spacing w:val="0"/>
          <w:sz w:val="24"/>
          <w:szCs w:val="24"/>
        </w:rPr>
      </w:pPr>
      <w:r>
        <w:rPr>
          <w:rFonts w:hint="default" w:ascii="Times New Roman" w:hAnsi="Times New Roman" w:eastAsia="Georgia" w:cs="Times New Roman"/>
          <w:i w:val="0"/>
          <w:iCs w:val="0"/>
          <w:caps w:val="0"/>
          <w:color w:val="2E2E2E"/>
          <w:spacing w:val="0"/>
          <w:sz w:val="24"/>
          <w:szCs w:val="24"/>
        </w:rPr>
        <w:t>The global pandemic of coronavirus disease 2019 (COVID-19) caused by the severe acute respiratory syndrome coronavirus-2 (SARS-CoV-2)</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most</w:t>
      </w:r>
      <w:r>
        <w:rPr>
          <w:rFonts w:hint="default" w:ascii="Times New Roman" w:hAnsi="Times New Roman" w:eastAsia="Georgia" w:cs="Times New Roman"/>
          <w:i w:val="0"/>
          <w:iCs w:val="0"/>
          <w:caps w:val="0"/>
          <w:color w:val="2E2E2E"/>
          <w:spacing w:val="0"/>
          <w:sz w:val="24"/>
          <w:szCs w:val="24"/>
          <w:lang w:val="en-IN"/>
        </w:rPr>
        <w:t>ly</w:t>
      </w:r>
      <w:r>
        <w:rPr>
          <w:rFonts w:hint="default" w:ascii="Times New Roman" w:hAnsi="Times New Roman" w:eastAsia="Georgia" w:cs="Times New Roman"/>
          <w:i w:val="0"/>
          <w:iCs w:val="0"/>
          <w:caps w:val="0"/>
          <w:color w:val="2E2E2E"/>
          <w:spacing w:val="0"/>
          <w:sz w:val="24"/>
          <w:szCs w:val="24"/>
        </w:rPr>
        <w:t xml:space="preserve"> presented with mild to moderate or no symptoms</w:t>
      </w:r>
      <w:r>
        <w:rPr>
          <w:rFonts w:hint="default" w:ascii="Times New Roman" w:hAnsi="Times New Roman" w:eastAsia="Georgia" w:cs="Times New Roman"/>
          <w:i w:val="0"/>
          <w:iCs w:val="0"/>
          <w:caps w:val="0"/>
          <w:color w:val="2E2E2E"/>
          <w:spacing w:val="0"/>
          <w:sz w:val="24"/>
          <w:szCs w:val="24"/>
          <w:lang w:val="en-IN"/>
        </w:rPr>
        <w:t xml:space="preserve"> and </w:t>
      </w:r>
      <w:r>
        <w:rPr>
          <w:rFonts w:hint="default" w:ascii="Times New Roman" w:hAnsi="Times New Roman" w:eastAsia="Georgia" w:cs="Times New Roman"/>
          <w:i w:val="0"/>
          <w:iCs w:val="0"/>
          <w:caps w:val="0"/>
          <w:color w:val="2E2E2E"/>
          <w:spacing w:val="0"/>
          <w:sz w:val="24"/>
          <w:szCs w:val="24"/>
        </w:rPr>
        <w:t>patients having pre-existing metabolic disorders like diabetes, cardiovascular diseases, and obesity are at risk for severe and critical cases of infection. The metabolic landscape of COVID-19 and its association with disease severity has urged the need to understand how metabolic reprogramming occurs during the acute SARS-CoV-2 infection with the ultimate goal toward therapeutic intervention.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Viral replication is dependent on extracellular carbon sources such as glucose and glutam</w:t>
      </w:r>
      <w:r>
        <w:rPr>
          <w:rFonts w:hint="default" w:ascii="Times New Roman" w:hAnsi="Times New Roman" w:eastAsia="Georgia" w:cs="Times New Roman"/>
          <w:i w:val="0"/>
          <w:iCs w:val="0"/>
          <w:caps w:val="0"/>
          <w:color w:val="2E2E2E"/>
          <w:spacing w:val="0"/>
          <w:sz w:val="24"/>
          <w:szCs w:val="24"/>
          <w:lang w:val="en-IN"/>
        </w:rPr>
        <w:t>ine and</w:t>
      </w:r>
      <w:r>
        <w:rPr>
          <w:rFonts w:hint="default" w:ascii="Times New Roman" w:hAnsi="Times New Roman" w:eastAsia="Georgia" w:cs="Times New Roman"/>
          <w:i w:val="0"/>
          <w:iCs w:val="0"/>
          <w:caps w:val="0"/>
          <w:color w:val="2E2E2E"/>
          <w:spacing w:val="0"/>
          <w:sz w:val="24"/>
          <w:szCs w:val="24"/>
        </w:rPr>
        <w:t xml:space="preserve"> induces metabolic alterations in host cell including host central carbon metabolism, nucleotide, fatty acids, and lipid synthesis that modulate viral pathogenesis and host response</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xml:space="preserve"> SARS-CoV-2 dysregulation of PI3K/Akt/mTOR and hypoxia-inducible factor 1 (HIF-1) signaling </w:t>
      </w:r>
      <w:r>
        <w:rPr>
          <w:rFonts w:hint="default" w:ascii="Times New Roman" w:hAnsi="Times New Roman" w:eastAsia="Georgia" w:cs="Times New Roman"/>
          <w:i w:val="0"/>
          <w:iCs w:val="0"/>
          <w:caps w:val="0"/>
          <w:color w:val="2E2E2E"/>
          <w:spacing w:val="0"/>
          <w:sz w:val="24"/>
          <w:szCs w:val="24"/>
          <w:lang w:val="en-IN"/>
        </w:rPr>
        <w:t xml:space="preserve">pathways </w:t>
      </w:r>
      <w:r>
        <w:rPr>
          <w:rFonts w:hint="default" w:ascii="Times New Roman" w:hAnsi="Times New Roman" w:eastAsia="Georgia" w:cs="Times New Roman"/>
          <w:i w:val="0"/>
          <w:iCs w:val="0"/>
          <w:caps w:val="0"/>
          <w:color w:val="2E2E2E"/>
          <w:spacing w:val="0"/>
          <w:sz w:val="24"/>
          <w:szCs w:val="24"/>
        </w:rPr>
        <w:t>in infected cells</w:t>
      </w:r>
      <w:bookmarkStart w:id="0" w:name="bbib7"/>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 xml:space="preserve">and affect mitochondrial functions . These pathways regulate glycolysis by altering glucose transporters (GLUTs) across cell membranes. </w:t>
      </w:r>
      <w:r>
        <w:rPr>
          <w:rFonts w:hint="default" w:ascii="Times New Roman" w:hAnsi="Times New Roman" w:eastAsia="Georgia" w:cs="Times New Roman"/>
          <w:i w:val="0"/>
          <w:iCs w:val="0"/>
          <w:caps w:val="0"/>
          <w:color w:val="2E2E2E"/>
          <w:spacing w:val="0"/>
          <w:sz w:val="24"/>
          <w:szCs w:val="24"/>
          <w:lang w:val="en-IN"/>
        </w:rPr>
        <w:t>T</w:t>
      </w:r>
      <w:r>
        <w:rPr>
          <w:rFonts w:hint="default" w:ascii="Times New Roman" w:hAnsi="Times New Roman" w:eastAsia="Georgia" w:cs="Times New Roman"/>
          <w:i w:val="0"/>
          <w:iCs w:val="0"/>
          <w:caps w:val="0"/>
          <w:color w:val="2E2E2E"/>
          <w:spacing w:val="0"/>
          <w:sz w:val="24"/>
          <w:szCs w:val="24"/>
        </w:rPr>
        <w:t>he altered extracellular glucose, mannose, and glutamate levels could be due to dysregulated carbohydrate metabolism and mitochondrial function.</w:t>
      </w:r>
      <w:r>
        <w:rPr>
          <w:rFonts w:hint="default" w:ascii="Times New Roman" w:hAnsi="Times New Roman" w:eastAsia="Georgia" w:cs="Times New Roman"/>
          <w:i w:val="0"/>
          <w:iCs w:val="0"/>
          <w:caps w:val="0"/>
          <w:color w:val="2E2E2E"/>
          <w:spacing w:val="0"/>
          <w:sz w:val="24"/>
          <w:szCs w:val="24"/>
          <w:lang w:val="en-IN"/>
        </w:rPr>
        <w:t xml:space="preserve"> H</w:t>
      </w:r>
      <w:r>
        <w:rPr>
          <w:rFonts w:hint="default" w:ascii="Times New Roman" w:hAnsi="Times New Roman" w:eastAsia="Georgia" w:cs="Times New Roman"/>
          <w:i w:val="0"/>
          <w:iCs w:val="0"/>
          <w:caps w:val="0"/>
          <w:color w:val="2E2E2E"/>
          <w:spacing w:val="0"/>
          <w:sz w:val="24"/>
          <w:szCs w:val="24"/>
        </w:rPr>
        <w:t>ost cellular response following SARS-CoV-2 infection</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xml:space="preserve"> identified a strong acute metabolic adaptation in the lung epithelial cells (Calu-3) by modulating central carbon metabolism and indicative of mitochondrial dysfunction that is also observed in severe COVID-19 patients. Glycolysis and glutaminolysis can be essential for virus replication, and host-based metabolic strategies to inhibit viruses to weaken the viral replication by metabolic intervention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 xml:space="preserve">could be an attractive antiviral </w:t>
      </w:r>
      <w:r>
        <w:rPr>
          <w:rFonts w:hint="default" w:ascii="Times New Roman" w:hAnsi="Times New Roman" w:eastAsia="Georgia" w:cs="Times New Roman"/>
          <w:i w:val="0"/>
          <w:iCs w:val="0"/>
          <w:caps w:val="0"/>
          <w:color w:val="2E2E2E"/>
          <w:spacing w:val="0"/>
          <w:sz w:val="24"/>
          <w:szCs w:val="24"/>
          <w:lang w:val="en-IN"/>
        </w:rPr>
        <w:t>therapy</w:t>
      </w:r>
      <w:r>
        <w:rPr>
          <w:rFonts w:hint="default" w:ascii="Times New Roman" w:hAnsi="Times New Roman" w:eastAsia="Georgia" w:cs="Times New Roman"/>
          <w:i w:val="0"/>
          <w:iCs w:val="0"/>
          <w:caps w:val="0"/>
          <w:color w:val="2E2E2E"/>
          <w:spacing w:val="0"/>
          <w:sz w:val="24"/>
          <w:szCs w:val="24"/>
        </w:rPr>
        <w:t>.</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Targeting these pathways with inhibitors such as MK2206 (Akt inhibitor) or 2-deoxy-</w:t>
      </w:r>
      <w:r>
        <w:rPr>
          <w:rFonts w:hint="default" w:ascii="Times New Roman" w:hAnsi="Times New Roman" w:eastAsia="Georgia" w:cs="Times New Roman"/>
          <w:i w:val="0"/>
          <w:iCs w:val="0"/>
          <w:caps w:val="0"/>
          <w:smallCaps/>
          <w:color w:val="2E2E2E"/>
          <w:spacing w:val="0"/>
          <w:sz w:val="24"/>
          <w:szCs w:val="24"/>
        </w:rPr>
        <w:t>d</w:t>
      </w:r>
      <w:r>
        <w:rPr>
          <w:rFonts w:hint="default" w:ascii="Times New Roman" w:hAnsi="Times New Roman" w:eastAsia="Georgia" w:cs="Times New Roman"/>
          <w:i w:val="0"/>
          <w:iCs w:val="0"/>
          <w:caps w:val="0"/>
          <w:color w:val="2E2E2E"/>
          <w:spacing w:val="0"/>
          <w:sz w:val="24"/>
          <w:szCs w:val="24"/>
        </w:rPr>
        <w:t>-glucose (2-DG; glycolysis inhibitor) can lower the viral burden in the cells </w:t>
      </w:r>
      <w:r>
        <w:rPr>
          <w:rStyle w:val="4"/>
          <w:rFonts w:hint="default" w:ascii="Times New Roman" w:hAnsi="Times New Roman" w:eastAsia="Georgia" w:cs="Times New Roman"/>
          <w:caps w:val="0"/>
          <w:color w:val="2E2E2E"/>
          <w:spacing w:val="0"/>
          <w:sz w:val="24"/>
          <w:szCs w:val="24"/>
        </w:rPr>
        <w:t>in vitro</w:t>
      </w:r>
      <w:bookmarkEnd w:id="0"/>
      <w:r>
        <w:rPr>
          <w:rFonts w:hint="default" w:ascii="Times New Roman" w:hAnsi="Times New Roman" w:eastAsia="Georgia" w:cs="Times New Roman"/>
          <w:i w:val="0"/>
          <w:iCs w:val="0"/>
          <w:caps w:val="0"/>
          <w:color w:val="2E2E2E"/>
          <w:spacing w:val="0"/>
          <w:sz w:val="24"/>
          <w:szCs w:val="24"/>
        </w:rPr>
        <w:t xml:space="preserve">. </w:t>
      </w:r>
    </w:p>
    <w:p>
      <w:pPr>
        <w:ind w:firstLine="120" w:firstLineChars="50"/>
        <w:jc w:val="both"/>
        <w:rPr>
          <w:rFonts w:hint="default" w:ascii="Times New Roman" w:hAnsi="Times New Roman" w:eastAsia="Georgia" w:cs="Times New Roman"/>
          <w:i w:val="0"/>
          <w:iCs w:val="0"/>
          <w:caps w:val="0"/>
          <w:color w:val="2E2E2E"/>
          <w:spacing w:val="0"/>
          <w:sz w:val="24"/>
          <w:szCs w:val="24"/>
          <w:lang w:val="en-IN"/>
        </w:rPr>
      </w:pPr>
      <w:r>
        <w:rPr>
          <w:rFonts w:hint="default" w:ascii="Times New Roman" w:hAnsi="Times New Roman" w:eastAsia="Georgia" w:cs="Times New Roman"/>
          <w:i w:val="0"/>
          <w:iCs w:val="0"/>
          <w:caps w:val="0"/>
          <w:color w:val="2E2E2E"/>
          <w:spacing w:val="0"/>
          <w:sz w:val="24"/>
          <w:szCs w:val="24"/>
          <w:lang w:val="en-IN"/>
        </w:rPr>
        <w:t>T</w:t>
      </w:r>
      <w:r>
        <w:rPr>
          <w:rFonts w:hint="default" w:ascii="Times New Roman" w:hAnsi="Times New Roman" w:eastAsia="Georgia" w:cs="Times New Roman"/>
          <w:i w:val="0"/>
          <w:iCs w:val="0"/>
          <w:caps w:val="0"/>
          <w:color w:val="2E2E2E"/>
          <w:spacing w:val="0"/>
          <w:sz w:val="24"/>
          <w:szCs w:val="24"/>
        </w:rPr>
        <w:t xml:space="preserve">he cytokine storm syndrome is evident in COVID-19 patients </w:t>
      </w:r>
      <w:r>
        <w:rPr>
          <w:rFonts w:hint="default" w:ascii="Times New Roman" w:hAnsi="Times New Roman" w:eastAsia="Georgia" w:cs="Times New Roman"/>
          <w:i w:val="0"/>
          <w:iCs w:val="0"/>
          <w:caps w:val="0"/>
          <w:color w:val="2E2E2E"/>
          <w:spacing w:val="0"/>
          <w:sz w:val="24"/>
          <w:szCs w:val="24"/>
          <w:lang w:val="en-IN"/>
        </w:rPr>
        <w:t>and s</w:t>
      </w:r>
      <w:r>
        <w:rPr>
          <w:rFonts w:hint="default" w:ascii="Times New Roman" w:hAnsi="Times New Roman" w:eastAsia="Georgia" w:cs="Times New Roman"/>
          <w:i w:val="0"/>
          <w:iCs w:val="0"/>
          <w:caps w:val="0"/>
          <w:color w:val="2E2E2E"/>
          <w:spacing w:val="0"/>
          <w:sz w:val="24"/>
          <w:szCs w:val="24"/>
        </w:rPr>
        <w:t>everal plasma proinflammatory cytokines including IL-6 were elevated in both mild and severe COVID-19 patients.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IL-12 also plays a critical role in viral immunity by activating the natural killer cells and promoting differentiation of Th1 CD4</w:t>
      </w:r>
      <w:r>
        <w:rPr>
          <w:rFonts w:hint="default" w:ascii="Times New Roman" w:hAnsi="Times New Roman" w:eastAsia="Georgia" w:cs="Times New Roman"/>
          <w:i w:val="0"/>
          <w:iCs w:val="0"/>
          <w:caps w:val="0"/>
          <w:color w:val="2E2E2E"/>
          <w:spacing w:val="0"/>
          <w:sz w:val="24"/>
          <w:szCs w:val="24"/>
          <w:vertAlign w:val="baseline"/>
        </w:rPr>
        <w:t>+</w:t>
      </w:r>
      <w:r>
        <w:rPr>
          <w:rFonts w:hint="default" w:ascii="Times New Roman" w:hAnsi="Times New Roman" w:eastAsia="Georgia" w:cs="Times New Roman"/>
          <w:i w:val="0"/>
          <w:iCs w:val="0"/>
          <w:caps w:val="0"/>
          <w:color w:val="2E2E2E"/>
          <w:spacing w:val="0"/>
          <w:sz w:val="24"/>
          <w:szCs w:val="24"/>
        </w:rPr>
        <w:t> T cells.</w:t>
      </w:r>
      <w:r>
        <w:rPr>
          <w:rFonts w:hint="default" w:ascii="Times New Roman" w:hAnsi="Times New Roman" w:eastAsia="Georgia" w:cs="Times New Roman"/>
          <w:i w:val="0"/>
          <w:iCs w:val="0"/>
          <w:caps w:val="0"/>
          <w:color w:val="2E2E2E"/>
          <w:spacing w:val="0"/>
          <w:sz w:val="24"/>
          <w:szCs w:val="24"/>
          <w:lang w:val="en-IN"/>
        </w:rPr>
        <w:t xml:space="preserve"> </w:t>
      </w:r>
      <w:r>
        <w:rPr>
          <w:rStyle w:val="4"/>
          <w:rFonts w:hint="default" w:ascii="Times New Roman" w:hAnsi="Times New Roman" w:eastAsia="Georgia" w:cs="Times New Roman"/>
          <w:caps w:val="0"/>
          <w:color w:val="2E2E2E"/>
          <w:spacing w:val="0"/>
          <w:sz w:val="24"/>
          <w:szCs w:val="24"/>
        </w:rPr>
        <w:t>In vitro</w:t>
      </w:r>
      <w:r>
        <w:rPr>
          <w:rFonts w:hint="default" w:ascii="Times New Roman" w:hAnsi="Times New Roman" w:eastAsia="Georgia" w:cs="Times New Roman"/>
          <w:i w:val="0"/>
          <w:iCs w:val="0"/>
          <w:caps w:val="0"/>
          <w:color w:val="2E2E2E"/>
          <w:spacing w:val="0"/>
          <w:sz w:val="24"/>
          <w:szCs w:val="24"/>
        </w:rPr>
        <w:t> studies on IL-12 administration have shown enhanced host cellular responses that generally promote virus clearance and host recovery from infection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Metabolite transporters are known to dictate immune cell activity by controlling access to nutrients, thereby maintaining cellular homeostasis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Viral infections including SARS-CoV-2 are known to enhance the glycolytic flux and increase the production of lactate from pyruvate</w:t>
      </w:r>
      <w:r>
        <w:rPr>
          <w:rFonts w:hint="default" w:ascii="Times New Roman" w:hAnsi="Times New Roman" w:eastAsia="Georgia" w:cs="Times New Roman"/>
          <w:i w:val="0"/>
          <w:iCs w:val="0"/>
          <w:caps w:val="0"/>
          <w:color w:val="2E2E2E"/>
          <w:spacing w:val="0"/>
          <w:sz w:val="24"/>
          <w:szCs w:val="24"/>
          <w:lang w:val="en-IN"/>
        </w:rPr>
        <w:t xml:space="preserve"> and i</w:t>
      </w:r>
      <w:r>
        <w:rPr>
          <w:rFonts w:hint="default" w:ascii="Times New Roman" w:hAnsi="Times New Roman" w:eastAsia="Georgia" w:cs="Times New Roman"/>
          <w:i w:val="0"/>
          <w:iCs w:val="0"/>
          <w:caps w:val="0"/>
          <w:color w:val="2E2E2E"/>
          <w:spacing w:val="0"/>
          <w:sz w:val="24"/>
          <w:szCs w:val="24"/>
        </w:rPr>
        <w:t>ncreased glucose, pyruvate, and lactate levels in the plasma of COVID-19 patients indicat</w:t>
      </w:r>
      <w:r>
        <w:rPr>
          <w:rFonts w:hint="default" w:ascii="Times New Roman" w:hAnsi="Times New Roman" w:eastAsia="Georgia" w:cs="Times New Roman"/>
          <w:i w:val="0"/>
          <w:iCs w:val="0"/>
          <w:caps w:val="0"/>
          <w:color w:val="2E2E2E"/>
          <w:spacing w:val="0"/>
          <w:sz w:val="24"/>
          <w:szCs w:val="24"/>
          <w:lang w:val="en-IN"/>
        </w:rPr>
        <w:t>e</w:t>
      </w:r>
      <w:r>
        <w:rPr>
          <w:rFonts w:hint="default" w:ascii="Times New Roman" w:hAnsi="Times New Roman" w:eastAsia="Georgia" w:cs="Times New Roman"/>
          <w:i w:val="0"/>
          <w:iCs w:val="0"/>
          <w:caps w:val="0"/>
          <w:color w:val="2E2E2E"/>
          <w:spacing w:val="0"/>
          <w:sz w:val="24"/>
          <w:szCs w:val="24"/>
        </w:rPr>
        <w:t xml:space="preserve"> toxic metabolic dysregulation during acute phase of infection.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 </w:t>
      </w:r>
      <w:r>
        <w:rPr>
          <w:rFonts w:hint="default" w:ascii="Times New Roman" w:hAnsi="Times New Roman" w:eastAsia="Georgia" w:cs="Times New Roman"/>
          <w:i w:val="0"/>
          <w:iCs w:val="0"/>
          <w:caps w:val="0"/>
          <w:color w:val="2E2E2E"/>
          <w:spacing w:val="0"/>
          <w:sz w:val="24"/>
          <w:szCs w:val="24"/>
          <w:lang w:val="en-IN"/>
        </w:rPr>
        <w:t>A</w:t>
      </w:r>
      <w:r>
        <w:rPr>
          <w:rFonts w:hint="default" w:ascii="Times New Roman" w:hAnsi="Times New Roman" w:eastAsia="Georgia" w:cs="Times New Roman"/>
          <w:i w:val="0"/>
          <w:iCs w:val="0"/>
          <w:caps w:val="0"/>
          <w:color w:val="2E2E2E"/>
          <w:spacing w:val="0"/>
          <w:sz w:val="24"/>
          <w:szCs w:val="24"/>
        </w:rPr>
        <w:t xml:space="preserve"> significant increase in surface expression (mean fluorescence intensity) of GLUT1 in CD8</w:t>
      </w:r>
      <w:r>
        <w:rPr>
          <w:rFonts w:hint="default" w:ascii="Times New Roman" w:hAnsi="Times New Roman" w:eastAsia="Georgia" w:cs="Times New Roman"/>
          <w:i w:val="0"/>
          <w:iCs w:val="0"/>
          <w:caps w:val="0"/>
          <w:color w:val="2E2E2E"/>
          <w:spacing w:val="0"/>
          <w:sz w:val="24"/>
          <w:szCs w:val="24"/>
          <w:vertAlign w:val="baseline"/>
        </w:rPr>
        <w:t>+</w:t>
      </w:r>
      <w:r>
        <w:rPr>
          <w:rFonts w:hint="default" w:ascii="Times New Roman" w:hAnsi="Times New Roman" w:eastAsia="Georgia" w:cs="Times New Roman"/>
          <w:i w:val="0"/>
          <w:iCs w:val="0"/>
          <w:caps w:val="0"/>
          <w:color w:val="2E2E2E"/>
          <w:spacing w:val="0"/>
          <w:sz w:val="24"/>
          <w:szCs w:val="24"/>
        </w:rPr>
        <w:t> T cells</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xml:space="preserve"> a significant increase in surface expressioa of xCT</w:t>
      </w:r>
      <w:r>
        <w:rPr>
          <w:rFonts w:hint="default" w:ascii="Times New Roman" w:hAnsi="Times New Roman" w:eastAsia="Georgia" w:cs="Times New Roman"/>
          <w:i w:val="0"/>
          <w:iCs w:val="0"/>
          <w:caps w:val="0"/>
          <w:color w:val="2E2E2E"/>
          <w:spacing w:val="0"/>
          <w:sz w:val="24"/>
          <w:szCs w:val="24"/>
          <w:lang w:val="en-IN"/>
        </w:rPr>
        <w:t xml:space="preserve">, a </w:t>
      </w:r>
      <w:r>
        <w:rPr>
          <w:rFonts w:hint="default" w:ascii="Times New Roman" w:hAnsi="Times New Roman" w:eastAsia="Georgia" w:cs="Times New Roman"/>
          <w:i w:val="0"/>
          <w:iCs w:val="0"/>
          <w:caps w:val="0"/>
          <w:color w:val="2E2E2E"/>
          <w:spacing w:val="0"/>
          <w:sz w:val="24"/>
          <w:szCs w:val="24"/>
        </w:rPr>
        <w:t>cystine/glutamate antiporter that exchanges glutamate for cystine essential for maintenance of redox balance</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 xml:space="preserve">in classical and intermediate monocytes in </w:t>
      </w:r>
      <w:r>
        <w:rPr>
          <w:rFonts w:hint="default" w:ascii="Times New Roman" w:hAnsi="Times New Roman" w:eastAsia="Georgia" w:cs="Times New Roman"/>
          <w:i w:val="0"/>
          <w:iCs w:val="0"/>
          <w:caps w:val="0"/>
          <w:color w:val="2E2E2E"/>
          <w:spacing w:val="0"/>
          <w:sz w:val="24"/>
          <w:szCs w:val="24"/>
          <w:lang w:val="en-IN"/>
        </w:rPr>
        <w:t xml:space="preserve">severe </w:t>
      </w:r>
      <w:r>
        <w:rPr>
          <w:rFonts w:hint="default" w:ascii="Times New Roman" w:hAnsi="Times New Roman" w:eastAsia="Georgia" w:cs="Times New Roman"/>
          <w:i w:val="0"/>
          <w:iCs w:val="0"/>
          <w:caps w:val="0"/>
          <w:color w:val="2E2E2E"/>
          <w:spacing w:val="0"/>
          <w:sz w:val="24"/>
          <w:szCs w:val="24"/>
        </w:rPr>
        <w:t>COVID-19 patients.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Infectivity of SARS-CoV-2</w:t>
      </w:r>
      <w:r>
        <w:rPr>
          <w:rFonts w:hint="default" w:ascii="Times New Roman" w:hAnsi="Times New Roman" w:eastAsia="Georgia" w:cs="Times New Roman"/>
          <w:i w:val="0"/>
          <w:iCs w:val="0"/>
          <w:caps w:val="0"/>
          <w:color w:val="2E2E2E"/>
          <w:spacing w:val="0"/>
          <w:sz w:val="24"/>
          <w:szCs w:val="24"/>
          <w:lang w:val="en-IN"/>
        </w:rPr>
        <w:t xml:space="preserve"> is</w:t>
      </w:r>
      <w:r>
        <w:rPr>
          <w:rFonts w:hint="default" w:ascii="Times New Roman" w:hAnsi="Times New Roman" w:eastAsia="Georgia" w:cs="Times New Roman"/>
          <w:i w:val="0"/>
          <w:iCs w:val="0"/>
          <w:caps w:val="0"/>
          <w:color w:val="2E2E2E"/>
          <w:spacing w:val="0"/>
          <w:sz w:val="24"/>
          <w:szCs w:val="24"/>
        </w:rPr>
        <w:t xml:space="preserve"> quantified as relative </w:t>
      </w:r>
      <w:r>
        <w:rPr>
          <w:rStyle w:val="4"/>
          <w:rFonts w:hint="default" w:ascii="Times New Roman" w:hAnsi="Times New Roman" w:eastAsia="Georgia" w:cs="Times New Roman"/>
          <w:caps w:val="0"/>
          <w:color w:val="2E2E2E"/>
          <w:spacing w:val="0"/>
          <w:sz w:val="24"/>
          <w:szCs w:val="24"/>
        </w:rPr>
        <w:t>E-gene</w:t>
      </w:r>
      <w:r>
        <w:rPr>
          <w:rFonts w:hint="default" w:ascii="Times New Roman" w:hAnsi="Times New Roman" w:eastAsia="Georgia" w:cs="Times New Roman"/>
          <w:i w:val="0"/>
          <w:iCs w:val="0"/>
          <w:caps w:val="0"/>
          <w:color w:val="2E2E2E"/>
          <w:spacing w:val="0"/>
          <w:sz w:val="24"/>
          <w:szCs w:val="24"/>
        </w:rPr>
        <w:t> levels in cell lysates</w:t>
      </w:r>
      <w:r>
        <w:rPr>
          <w:rFonts w:hint="default" w:ascii="Times New Roman" w:hAnsi="Times New Roman" w:eastAsia="Georgia" w:cs="Times New Roman"/>
          <w:i w:val="0"/>
          <w:iCs w:val="0"/>
          <w:caps w:val="0"/>
          <w:color w:val="2E2E2E"/>
          <w:spacing w:val="0"/>
          <w:sz w:val="24"/>
          <w:szCs w:val="24"/>
          <w:lang w:val="en-IN"/>
        </w:rPr>
        <w:t xml:space="preserve"> and showed that</w:t>
      </w:r>
      <w:r>
        <w:rPr>
          <w:rFonts w:hint="default" w:ascii="Times New Roman" w:hAnsi="Times New Roman" w:eastAsia="Georgia" w:cs="Times New Roman"/>
          <w:i w:val="0"/>
          <w:iCs w:val="0"/>
          <w:caps w:val="0"/>
          <w:color w:val="2E2E2E"/>
          <w:spacing w:val="0"/>
          <w:sz w:val="24"/>
          <w:szCs w:val="24"/>
        </w:rPr>
        <w:t> both glutaminolysis and glycolysis can be essential for SARS-CoV-2 infection and progressive replication </w:t>
      </w:r>
      <w:r>
        <w:rPr>
          <w:rStyle w:val="4"/>
          <w:rFonts w:hint="default" w:ascii="Times New Roman" w:hAnsi="Times New Roman" w:eastAsia="Georgia" w:cs="Times New Roman"/>
          <w:caps w:val="0"/>
          <w:color w:val="2E2E2E"/>
          <w:spacing w:val="0"/>
          <w:sz w:val="24"/>
          <w:szCs w:val="24"/>
        </w:rPr>
        <w:t>in vitro</w:t>
      </w:r>
      <w:r>
        <w:rPr>
          <w:rFonts w:hint="default" w:ascii="Times New Roman" w:hAnsi="Times New Roman" w:eastAsia="Georgia" w:cs="Times New Roman"/>
          <w:i w:val="0"/>
          <w:iCs w:val="0"/>
          <w:caps w:val="0"/>
          <w:color w:val="2E2E2E"/>
          <w:spacing w:val="0"/>
          <w:sz w:val="24"/>
          <w:szCs w:val="24"/>
        </w:rPr>
        <w:t> in the lung epithelial cell line.</w:t>
      </w:r>
    </w:p>
    <w:p>
      <w:pPr>
        <w:ind w:firstLine="240" w:firstLineChars="100"/>
        <w:jc w:val="both"/>
        <w:rPr>
          <w:rFonts w:hint="default" w:ascii="Times New Roman" w:hAnsi="Times New Roman" w:eastAsia="Georgia" w:cs="Times New Roman"/>
          <w:i w:val="0"/>
          <w:iCs w:val="0"/>
          <w:caps w:val="0"/>
          <w:color w:val="2E2E2E"/>
          <w:spacing w:val="0"/>
          <w:sz w:val="24"/>
          <w:szCs w:val="24"/>
        </w:rPr>
      </w:pPr>
    </w:p>
    <w:p>
      <w:pPr>
        <w:ind w:firstLine="720" w:firstLineChars="300"/>
        <w:jc w:val="both"/>
        <w:rPr>
          <w:rFonts w:hint="default" w:ascii="Times New Roman" w:hAnsi="Times New Roman" w:eastAsia="Georgia" w:cs="Times New Roman"/>
          <w:i w:val="0"/>
          <w:iCs w:val="0"/>
          <w:caps w:val="0"/>
          <w:color w:val="2E2E2E"/>
          <w:spacing w:val="0"/>
          <w:sz w:val="24"/>
          <w:szCs w:val="24"/>
        </w:rPr>
      </w:pPr>
    </w:p>
    <w:p>
      <w:pPr>
        <w:ind w:firstLine="120" w:firstLineChars="50"/>
        <w:jc w:val="both"/>
        <w:rPr>
          <w:rFonts w:hint="default" w:ascii="Times New Roman" w:hAnsi="Times New Roman" w:eastAsia="Georgia" w:cs="Times New Roman"/>
          <w:i w:val="0"/>
          <w:iCs w:val="0"/>
          <w:caps w:val="0"/>
          <w:color w:val="2E2E2E"/>
          <w:spacing w:val="0"/>
          <w:sz w:val="24"/>
          <w:szCs w:val="24"/>
          <w:lang w:val="en-IN"/>
        </w:rPr>
      </w:pPr>
      <w:r>
        <w:rPr>
          <w:rFonts w:hint="default" w:ascii="Times New Roman" w:hAnsi="Times New Roman" w:eastAsia="Georgia" w:cs="Times New Roman"/>
          <w:i w:val="0"/>
          <w:iCs w:val="0"/>
          <w:caps w:val="0"/>
          <w:color w:val="2E2E2E"/>
          <w:spacing w:val="0"/>
          <w:sz w:val="24"/>
          <w:szCs w:val="24"/>
        </w:rPr>
        <w:t>Plasma mannose emerges as a robust biomarker of disease severity that is in line with earlier studies from China and United State</w:t>
      </w:r>
      <w:r>
        <w:rPr>
          <w:rFonts w:hint="default" w:ascii="Times New Roman" w:hAnsi="Times New Roman" w:eastAsia="Georgia" w:cs="Times New Roman"/>
          <w:i w:val="0"/>
          <w:iCs w:val="0"/>
          <w:caps w:val="0"/>
          <w:color w:val="2E2E2E"/>
          <w:spacing w:val="0"/>
          <w:sz w:val="24"/>
          <w:szCs w:val="24"/>
          <w:lang w:val="en-IN"/>
        </w:rPr>
        <w:t xml:space="preserve"> and </w:t>
      </w:r>
      <w:r>
        <w:rPr>
          <w:rFonts w:hint="default" w:ascii="Times New Roman" w:hAnsi="Times New Roman" w:eastAsia="Georgia" w:cs="Times New Roman"/>
          <w:i w:val="0"/>
          <w:iCs w:val="0"/>
          <w:caps w:val="0"/>
          <w:color w:val="2E2E2E"/>
          <w:spacing w:val="0"/>
          <w:sz w:val="24"/>
          <w:szCs w:val="24"/>
        </w:rPr>
        <w:t>Other metabolite biomarkers, like 6-oxopiperidine-2-carboxylate, hydantoin-5-propionate, 4-hydroxy phenylacetate, eicosanedioate, and 6-bromotryptophan, were not reported earlier. Recent studies reported that plasma mannose levels were an indicator of glycogenolysis as well as glucose tolerance and associated with the future risk of developing chronic diseases, such as type 2 diabetes</w:t>
      </w:r>
      <w:r>
        <w:rPr>
          <w:rFonts w:hint="default" w:ascii="Times New Roman" w:hAnsi="Times New Roman" w:eastAsia="Georgia" w:cs="Times New Roman"/>
          <w:i w:val="0"/>
          <w:iCs w:val="0"/>
          <w:caps w:val="0"/>
          <w:color w:val="2E2E2E"/>
          <w:spacing w:val="0"/>
          <w:sz w:val="24"/>
          <w:szCs w:val="24"/>
          <w:lang w:val="en-IN"/>
        </w:rPr>
        <w:t xml:space="preserve"> and </w:t>
      </w:r>
      <w:r>
        <w:rPr>
          <w:rFonts w:hint="default" w:ascii="Times New Roman" w:hAnsi="Times New Roman" w:eastAsia="Georgia" w:cs="Times New Roman"/>
          <w:i w:val="0"/>
          <w:iCs w:val="0"/>
          <w:caps w:val="0"/>
          <w:color w:val="2E2E2E"/>
          <w:spacing w:val="0"/>
          <w:sz w:val="24"/>
          <w:szCs w:val="24"/>
        </w:rPr>
        <w:t>increased mannose has a role to play in new-onset diabetes after SARS-CoV-2 infection</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C-type lectins, such as MBL</w:t>
      </w:r>
      <w:r>
        <w:rPr>
          <w:rFonts w:hint="default" w:ascii="Times New Roman" w:hAnsi="Times New Roman" w:eastAsia="Georgia" w:cs="Times New Roman"/>
          <w:i w:val="0"/>
          <w:iCs w:val="0"/>
          <w:caps w:val="0"/>
          <w:color w:val="2E2E2E"/>
          <w:spacing w:val="0"/>
          <w:sz w:val="24"/>
          <w:szCs w:val="24"/>
          <w:lang w:val="en-IN"/>
        </w:rPr>
        <w:t xml:space="preserve"> (mannose-binding lectin)</w:t>
      </w:r>
      <w:r>
        <w:rPr>
          <w:rFonts w:hint="default" w:ascii="Times New Roman" w:hAnsi="Times New Roman" w:eastAsia="Georgia" w:cs="Times New Roman"/>
          <w:i w:val="0"/>
          <w:iCs w:val="0"/>
          <w:caps w:val="0"/>
          <w:color w:val="2E2E2E"/>
          <w:spacing w:val="0"/>
          <w:sz w:val="24"/>
          <w:szCs w:val="24"/>
        </w:rPr>
        <w:t>, recognize carbohydrates, particularly on the surface of microorganisms leading to activation of the complement cascade and phagocytosis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High mannose and/or high MBL could thus dysregulate the immune system and lead to severe damage associated with disease severity</w:t>
      </w:r>
      <w:r>
        <w:rPr>
          <w:rFonts w:hint="default" w:ascii="Times New Roman" w:hAnsi="Times New Roman" w:eastAsia="Georgia" w:cs="Times New Roman"/>
          <w:i w:val="0"/>
          <w:iCs w:val="0"/>
          <w:caps w:val="0"/>
          <w:color w:val="2E2E2E"/>
          <w:spacing w:val="0"/>
          <w:sz w:val="24"/>
          <w:szCs w:val="24"/>
          <w:lang w:val="en-IN"/>
        </w:rPr>
        <w:t>.</w:t>
      </w:r>
    </w:p>
    <w:p>
      <w:pPr>
        <w:ind w:firstLine="120" w:firstLineChars="50"/>
        <w:jc w:val="both"/>
        <w:rPr>
          <w:rFonts w:hint="default" w:ascii="Times New Roman" w:hAnsi="Times New Roman" w:eastAsia="Georgia" w:cs="Times New Roman"/>
          <w:i w:val="0"/>
          <w:iCs w:val="0"/>
          <w:caps w:val="0"/>
          <w:color w:val="2E2E2E"/>
          <w:spacing w:val="0"/>
          <w:sz w:val="24"/>
          <w:szCs w:val="24"/>
          <w:lang w:val="en-IN"/>
        </w:rPr>
      </w:pP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420"/>
        <w:jc w:val="both"/>
        <w:rPr>
          <w:rFonts w:hint="default" w:ascii="Times New Roman" w:hAnsi="Times New Roman" w:cs="Times New Roman"/>
          <w:i w:val="0"/>
          <w:iCs w:val="0"/>
          <w:caps w:val="0"/>
          <w:color w:val="222222"/>
          <w:spacing w:val="0"/>
          <w:sz w:val="24"/>
          <w:szCs w:val="24"/>
        </w:rPr>
      </w:pPr>
      <w:r>
        <w:rPr>
          <w:rFonts w:hint="default" w:ascii="Times New Roman" w:hAnsi="Times New Roman" w:eastAsia="Georgia" w:cs="Times New Roman"/>
          <w:i w:val="0"/>
          <w:iCs w:val="0"/>
          <w:caps w:val="0"/>
          <w:color w:val="2E2E2E"/>
          <w:spacing w:val="0"/>
          <w:sz w:val="24"/>
          <w:szCs w:val="24"/>
          <w:lang w:val="en-IN"/>
        </w:rPr>
        <w:t>M</w:t>
      </w:r>
      <w:r>
        <w:rPr>
          <w:rFonts w:hint="default" w:ascii="Times New Roman" w:hAnsi="Times New Roman" w:eastAsia="Georgia" w:cs="Times New Roman"/>
          <w:i w:val="0"/>
          <w:iCs w:val="0"/>
          <w:caps w:val="0"/>
          <w:color w:val="2E2E2E"/>
          <w:spacing w:val="0"/>
          <w:sz w:val="24"/>
          <w:szCs w:val="24"/>
        </w:rPr>
        <w:t>ost of the proteins from carbohydrate metabolism and PPP</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SimSun" w:cs="Times New Roman"/>
          <w:i w:val="0"/>
          <w:iCs w:val="0"/>
          <w:caps w:val="0"/>
          <w:color w:val="4D5156"/>
          <w:spacing w:val="0"/>
          <w:sz w:val="24"/>
          <w:szCs w:val="24"/>
          <w:shd w:val="clear" w:fill="FFFFFF"/>
        </w:rPr>
        <w:t>pentose phosphate pathway</w:t>
      </w:r>
      <w:r>
        <w:rPr>
          <w:rFonts w:hint="default" w:ascii="Times New Roman" w:hAnsi="Times New Roman" w:eastAsia="SimSun" w:cs="Times New Roman"/>
          <w:i w:val="0"/>
          <w:iCs w:val="0"/>
          <w:caps w:val="0"/>
          <w:color w:val="4D5156"/>
          <w:spacing w:val="0"/>
          <w:sz w:val="24"/>
          <w:szCs w:val="24"/>
          <w:shd w:val="clear" w:fill="FFFFFF"/>
          <w:lang w:val="en-IN"/>
        </w:rPr>
        <w:t>)</w:t>
      </w:r>
      <w:r>
        <w:rPr>
          <w:rFonts w:hint="default" w:ascii="Times New Roman" w:hAnsi="Times New Roman" w:eastAsia="Georgia" w:cs="Times New Roman"/>
          <w:i w:val="0"/>
          <w:iCs w:val="0"/>
          <w:caps w:val="0"/>
          <w:color w:val="2E2E2E"/>
          <w:spacing w:val="0"/>
          <w:sz w:val="24"/>
          <w:szCs w:val="24"/>
        </w:rPr>
        <w:t xml:space="preserve"> were upregulated, whereas most of the proteins of TCA cycle, oxidative phosphorylation, and fatty acid metabolism were downregulated in infected cells</w:t>
      </w:r>
      <w:r>
        <w:rPr>
          <w:rFonts w:hint="default" w:ascii="Times New Roman" w:hAnsi="Times New Roman" w:eastAsia="Georgia" w:cs="Times New Roman"/>
          <w:i w:val="0"/>
          <w:iCs w:val="0"/>
          <w:caps w:val="0"/>
          <w:color w:val="2E2E2E"/>
          <w:spacing w:val="0"/>
          <w:sz w:val="24"/>
          <w:szCs w:val="24"/>
          <w:lang w:val="en-IN"/>
        </w:rPr>
        <w:t xml:space="preserve"> </w:t>
      </w:r>
      <w:r>
        <w:rPr>
          <w:rFonts w:hint="default" w:ascii="Times New Roman" w:hAnsi="Times New Roman" w:eastAsia="Georgia" w:cs="Times New Roman"/>
          <w:i w:val="0"/>
          <w:iCs w:val="0"/>
          <w:caps w:val="0"/>
          <w:color w:val="2E2E2E"/>
          <w:spacing w:val="0"/>
          <w:sz w:val="24"/>
          <w:szCs w:val="24"/>
        </w:rPr>
        <w:t>with the decreased mtDNA copy numbers in severe COVID-19 patients indicating a possible mitochondrial dysfunction</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Georgia" w:cs="Times New Roman"/>
          <w:i w:val="0"/>
          <w:iCs w:val="0"/>
          <w:caps w:val="0"/>
          <w:color w:val="2E2E2E"/>
          <w:spacing w:val="0"/>
          <w:sz w:val="24"/>
          <w:szCs w:val="24"/>
        </w:rPr>
        <w:t> Interestingly, although all the mitochondrial TCA cycle enzymes were downregulated, cytosolic enzymes, such as MDH1, IDH1, ACO1, and ACLY, that convert TCA cycle intermediates outside the mitochondria were upregulated in infected Calu-3 cells. This points toward dysfunctional mitochondria caused by COVID-19 infection. Alterations in mtDNA copy number in circulating blood cells can serve as a surrogate for mitochondrial dysfunction</w:t>
      </w:r>
      <w:r>
        <w:rPr>
          <w:rFonts w:hint="default" w:ascii="Times New Roman" w:hAnsi="Times New Roman" w:eastAsia="Georgia" w:cs="Times New Roman"/>
          <w:i w:val="0"/>
          <w:iCs w:val="0"/>
          <w:caps w:val="0"/>
          <w:color w:val="2E2E2E"/>
          <w:spacing w:val="0"/>
          <w:sz w:val="24"/>
          <w:szCs w:val="24"/>
          <w:lang w:val="en-IN"/>
        </w:rPr>
        <w:t xml:space="preserve"> A</w:t>
      </w:r>
      <w:r>
        <w:rPr>
          <w:rFonts w:hint="default" w:ascii="Times New Roman" w:hAnsi="Times New Roman" w:eastAsia="Georgia" w:cs="Times New Roman"/>
          <w:i w:val="0"/>
          <w:iCs w:val="0"/>
          <w:caps w:val="0"/>
          <w:color w:val="2E2E2E"/>
          <w:spacing w:val="0"/>
          <w:sz w:val="24"/>
          <w:szCs w:val="24"/>
        </w:rPr>
        <w:t>mino acid–related pathways were most predominantly affected during infection</w:t>
      </w:r>
      <w:r>
        <w:rPr>
          <w:rFonts w:hint="default" w:ascii="Times New Roman" w:hAnsi="Times New Roman" w:eastAsia="Georgia" w:cs="Times New Roman"/>
          <w:i w:val="0"/>
          <w:iCs w:val="0"/>
          <w:caps w:val="0"/>
          <w:color w:val="2E2E2E"/>
          <w:spacing w:val="0"/>
          <w:sz w:val="24"/>
          <w:szCs w:val="24"/>
          <w:lang w:val="en-IN"/>
        </w:rPr>
        <w:t xml:space="preserve"> and</w:t>
      </w:r>
      <w:r>
        <w:rPr>
          <w:rFonts w:hint="default" w:ascii="Times New Roman" w:hAnsi="Times New Roman" w:eastAsia="Georgia" w:cs="Times New Roman"/>
          <w:i w:val="0"/>
          <w:iCs w:val="0"/>
          <w:caps w:val="0"/>
          <w:color w:val="2E2E2E"/>
          <w:spacing w:val="0"/>
          <w:sz w:val="24"/>
          <w:szCs w:val="24"/>
        </w:rPr>
        <w:t> amino acids such as glycine, proline, tryptophan, alanine, histidine, glutamine, and arginine, were found in lower levels in COVID-19 patients, whereas glutamate, aspartate, and phenylalanine were found in higher levels</w:t>
      </w:r>
      <w:r>
        <w:rPr>
          <w:rFonts w:hint="default" w:ascii="Times New Roman" w:hAnsi="Times New Roman" w:eastAsia="Georgia" w:cs="Times New Roman"/>
          <w:i w:val="0"/>
          <w:iCs w:val="0"/>
          <w:caps w:val="0"/>
          <w:color w:val="2E2E2E"/>
          <w:spacing w:val="0"/>
          <w:sz w:val="24"/>
          <w:szCs w:val="24"/>
          <w:lang w:val="en-IN"/>
        </w:rPr>
        <w:t>.</w:t>
      </w:r>
      <w:r>
        <w:rPr>
          <w:rFonts w:hint="default" w:ascii="Times New Roman" w:hAnsi="Times New Roman" w:eastAsia="SimSun" w:cs="Times New Roman"/>
          <w:i w:val="0"/>
          <w:iCs w:val="0"/>
          <w:caps w:val="0"/>
          <w:color w:val="222222"/>
          <w:spacing w:val="0"/>
          <w:sz w:val="24"/>
          <w:szCs w:val="24"/>
          <w:shd w:val="clear" w:fill="FFFFFF"/>
        </w:rPr>
        <w:t>In COVID-19 infection</w:t>
      </w:r>
      <w:r>
        <w:rPr>
          <w:rFonts w:hint="default" w:ascii="Times New Roman" w:hAnsi="Times New Roman" w:eastAsia="SimSun" w:cs="Times New Roman"/>
          <w:i w:val="0"/>
          <w:iCs w:val="0"/>
          <w:caps w:val="0"/>
          <w:color w:val="222222"/>
          <w:spacing w:val="0"/>
          <w:sz w:val="24"/>
          <w:szCs w:val="24"/>
          <w:shd w:val="clear" w:fill="FFFFFF"/>
          <w:lang w:val="en-IN"/>
        </w:rPr>
        <w:t>.</w:t>
      </w:r>
      <w:r>
        <w:rPr>
          <w:rFonts w:hint="default" w:ascii="Times New Roman" w:hAnsi="Times New Roman" w:eastAsia="SimSun" w:cs="Times New Roman"/>
          <w:i w:val="0"/>
          <w:iCs w:val="0"/>
          <w:caps w:val="0"/>
          <w:color w:val="222222"/>
          <w:spacing w:val="0"/>
          <w:sz w:val="24"/>
          <w:szCs w:val="24"/>
          <w:shd w:val="clear" w:fill="FFFFFF"/>
        </w:rPr>
        <w:t xml:space="preserve"> kynurenine-to-tryptophan ratio is increased, suggesting the activation of the kynurenine pathway</w:t>
      </w:r>
      <w:r>
        <w:rPr>
          <w:rFonts w:hint="default" w:ascii="Times New Roman" w:hAnsi="Times New Roman" w:eastAsia="SimSun" w:cs="Times New Roman"/>
          <w:i w:val="0"/>
          <w:iCs w:val="0"/>
          <w:caps w:val="0"/>
          <w:color w:val="222222"/>
          <w:spacing w:val="0"/>
          <w:sz w:val="24"/>
          <w:szCs w:val="24"/>
          <w:shd w:val="clear" w:fill="FFFFFF"/>
          <w:lang w:val="en-IN"/>
        </w:rPr>
        <w:t xml:space="preserve"> and </w:t>
      </w:r>
      <w:r>
        <w:rPr>
          <w:rFonts w:hint="default" w:ascii="Times New Roman" w:hAnsi="Times New Roman" w:eastAsia="SimSun" w:cs="Times New Roman"/>
          <w:i w:val="0"/>
          <w:iCs w:val="0"/>
          <w:caps w:val="0"/>
          <w:color w:val="222222"/>
          <w:spacing w:val="0"/>
          <w:kern w:val="0"/>
          <w:sz w:val="24"/>
          <w:szCs w:val="24"/>
          <w:shd w:val="clear" w:fill="FFFFFF"/>
          <w:lang w:val="en-US" w:eastAsia="zh-CN" w:bidi="ar"/>
        </w:rPr>
        <w:t>the changes in the kynurenine pathway correlate with disease severity. Activation of the kynurenine pathway may be a result of excessive inflammatory responses in COVID-19 patients, given interferon (IFN)-γ and other inflammatory factors can upregulate IDO. The immunosuppressive effects arising from the hyperactivation of the kynurenine pathway might further delay the clearance of SARS-CoV-2 and cause cytokine storm and multiorgan failure</w:t>
      </w:r>
      <w:r>
        <w:rPr>
          <w:rFonts w:hint="default" w:ascii="Times New Roman" w:hAnsi="Times New Roman" w:eastAsia="SimSun" w:cs="Times New Roman"/>
          <w:i w:val="0"/>
          <w:iCs w:val="0"/>
          <w:caps w:val="0"/>
          <w:color w:val="222222"/>
          <w:spacing w:val="0"/>
          <w:kern w:val="0"/>
          <w:sz w:val="24"/>
          <w:szCs w:val="24"/>
          <w:shd w:val="clear" w:fill="FFFFFF"/>
          <w:lang w:val="en-IN" w:eastAsia="zh-CN" w:bidi="ar"/>
        </w:rPr>
        <w:t>.</w:t>
      </w:r>
      <w:r>
        <w:rPr>
          <w:rFonts w:hint="default" w:ascii="Times New Roman" w:hAnsi="Times New Roman" w:eastAsia="SimSun" w:cs="Times New Roman"/>
          <w:i w:val="0"/>
          <w:iCs w:val="0"/>
          <w:caps w:val="0"/>
          <w:color w:val="222222"/>
          <w:spacing w:val="0"/>
          <w:kern w:val="0"/>
          <w:sz w:val="24"/>
          <w:szCs w:val="24"/>
          <w:shd w:val="clear" w:fill="FFFFFF"/>
          <w:lang w:val="en-US" w:eastAsia="zh-CN" w:bidi="ar"/>
        </w:rPr>
        <w:t xml:space="preserve"> IDO-Kyn-AhR pathway is activated by IFN-β or IFN-γ in alveolar epithelial cells, leading to an accumulation of mucins, thus triggering hypoxia of COVID-19.</w:t>
      </w:r>
      <w:r>
        <w:rPr>
          <w:rFonts w:hint="default" w:ascii="Times New Roman" w:hAnsi="Times New Roman" w:eastAsia="SimSun" w:cs="Times New Roman"/>
          <w:i w:val="0"/>
          <w:iCs w:val="0"/>
          <w:caps w:val="0"/>
          <w:color w:val="222222"/>
          <w:spacing w:val="0"/>
          <w:kern w:val="0"/>
          <w:sz w:val="24"/>
          <w:szCs w:val="24"/>
          <w:shd w:val="clear" w:fill="FFFFFF"/>
          <w:lang w:val="en-IN" w:eastAsia="zh-CN" w:bidi="ar"/>
        </w:rPr>
        <w:t xml:space="preserve"> </w:t>
      </w:r>
      <w:r>
        <w:rPr>
          <w:rFonts w:hint="default" w:ascii="Times New Roman" w:hAnsi="Times New Roman" w:eastAsia="SimSun" w:cs="Times New Roman"/>
          <w:i w:val="0"/>
          <w:iCs w:val="0"/>
          <w:caps w:val="0"/>
          <w:color w:val="222222"/>
          <w:spacing w:val="0"/>
          <w:kern w:val="0"/>
          <w:sz w:val="24"/>
          <w:szCs w:val="24"/>
          <w:shd w:val="clear" w:fill="FFFFFF"/>
          <w:lang w:val="en-US" w:eastAsia="zh-CN" w:bidi="ar"/>
        </w:rPr>
        <w:t>Therefore, the hyperactivation of the kynurenine pathway provides a potent explanation of the COVID-19 pathological process, indicating a potential therapeutic approach by targeting the tryptophan pathway. Among the pharmacological agents targeting tryptophan pathways, IDO</w:t>
      </w:r>
      <w:r>
        <w:rPr>
          <w:rFonts w:hint="default" w:ascii="Times New Roman" w:hAnsi="Times New Roman" w:eastAsia="SimSun" w:cs="Times New Roman"/>
          <w:i w:val="0"/>
          <w:iCs w:val="0"/>
          <w:caps w:val="0"/>
          <w:color w:val="222222"/>
          <w:spacing w:val="0"/>
          <w:kern w:val="0"/>
          <w:sz w:val="24"/>
          <w:szCs w:val="24"/>
          <w:shd w:val="clear" w:fill="FFFFFF"/>
          <w:lang w:val="en-IN" w:eastAsia="zh-CN" w:bidi="ar"/>
        </w:rPr>
        <w:t xml:space="preserve"> (indoleamine deoxygenase)</w:t>
      </w:r>
      <w:r>
        <w:rPr>
          <w:rFonts w:hint="default" w:ascii="Times New Roman" w:hAnsi="Times New Roman" w:eastAsia="SimSun" w:cs="Times New Roman"/>
          <w:i w:val="0"/>
          <w:iCs w:val="0"/>
          <w:caps w:val="0"/>
          <w:color w:val="222222"/>
          <w:spacing w:val="0"/>
          <w:kern w:val="0"/>
          <w:sz w:val="24"/>
          <w:szCs w:val="24"/>
          <w:shd w:val="clear" w:fill="FFFFFF"/>
          <w:lang w:val="en-US" w:eastAsia="zh-CN" w:bidi="ar"/>
        </w:rPr>
        <w:t xml:space="preserve"> inhibitors are the most clinically advanced, which prevent immune suppression caused by tryptophan depletion and kynurenine metabolites </w:t>
      </w:r>
    </w:p>
    <w:p>
      <w:pPr>
        <w:ind w:firstLine="720" w:firstLineChars="300"/>
        <w:jc w:val="both"/>
        <w:rPr>
          <w:rFonts w:hint="default" w:ascii="Times New Roman" w:hAnsi="Times New Roman" w:eastAsia="Georgia" w:cs="Times New Roman"/>
          <w:i w:val="0"/>
          <w:iCs w:val="0"/>
          <w:caps w:val="0"/>
          <w:color w:val="2E2E2E"/>
          <w:spacing w:val="0"/>
          <w:sz w:val="24"/>
          <w:szCs w:val="24"/>
        </w:rPr>
      </w:pPr>
    </w:p>
    <w:p>
      <w:pPr>
        <w:ind w:firstLine="810" w:firstLineChars="300"/>
        <w:jc w:val="both"/>
        <w:rPr>
          <w:rFonts w:ascii="SimSun" w:hAnsi="SimSun" w:eastAsia="SimSun" w:cs="SimSun"/>
          <w:sz w:val="24"/>
          <w:szCs w:val="24"/>
        </w:rPr>
      </w:pPr>
      <w:r>
        <w:rPr>
          <w:rFonts w:hint="default" w:ascii="Times New Roman" w:hAnsi="Times New Roman" w:eastAsia="Georgia" w:cs="Times New Roman"/>
          <w:i w:val="0"/>
          <w:iCs w:val="0"/>
          <w:caps w:val="0"/>
          <w:color w:val="2E2E2E"/>
          <w:spacing w:val="0"/>
          <w:sz w:val="27"/>
          <w:szCs w:val="27"/>
        </w:rPr>
        <w:t> </w:t>
      </w:r>
      <w:r>
        <w:rPr>
          <w:rFonts w:ascii="SimSun" w:hAnsi="SimSun" w:eastAsia="SimSun" w:cs="SimSun"/>
          <w:sz w:val="24"/>
          <w:szCs w:val="24"/>
        </w:rPr>
        <w:drawing>
          <wp:inline distT="0" distB="0" distL="114300" distR="114300">
            <wp:extent cx="5238750" cy="3733800"/>
            <wp:effectExtent l="0" t="0" r="0" b="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4"/>
                    <a:stretch>
                      <a:fillRect/>
                    </a:stretch>
                  </pic:blipFill>
                  <pic:spPr>
                    <a:xfrm>
                      <a:off x="0" y="0"/>
                      <a:ext cx="5238750" cy="3733800"/>
                    </a:xfrm>
                    <a:prstGeom prst="rect">
                      <a:avLst/>
                    </a:prstGeom>
                    <a:noFill/>
                    <a:ln w="9525">
                      <a:noFill/>
                    </a:ln>
                  </pic:spPr>
                </pic:pic>
              </a:graphicData>
            </a:graphic>
          </wp:inline>
        </w:drawing>
      </w:r>
    </w:p>
    <w:p>
      <w:pPr>
        <w:ind w:firstLine="810" w:firstLineChars="300"/>
        <w:jc w:val="both"/>
        <w:rPr>
          <w:rFonts w:ascii="SimSun" w:hAnsi="SimSun" w:eastAsia="SimSun" w:cs="SimSun"/>
          <w:sz w:val="24"/>
          <w:szCs w:val="24"/>
        </w:rPr>
      </w:pPr>
      <w:r>
        <w:rPr>
          <w:sz w:val="27"/>
        </w:rPr>
        <mc:AlternateContent>
          <mc:Choice Requires="wps">
            <w:drawing>
              <wp:anchor distT="0" distB="0" distL="114300" distR="114300" simplePos="0" relativeHeight="251659264" behindDoc="0" locked="0" layoutInCell="1" allowOverlap="1">
                <wp:simplePos x="0" y="0"/>
                <wp:positionH relativeFrom="column">
                  <wp:posOffset>-48260</wp:posOffset>
                </wp:positionH>
                <wp:positionV relativeFrom="paragraph">
                  <wp:posOffset>1905</wp:posOffset>
                </wp:positionV>
                <wp:extent cx="5334000" cy="1028065"/>
                <wp:effectExtent l="4445" t="4445" r="14605" b="15240"/>
                <wp:wrapNone/>
                <wp:docPr id="2" name="Text Box 2"/>
                <wp:cNvGraphicFramePr/>
                <a:graphic xmlns:a="http://schemas.openxmlformats.org/drawingml/2006/main">
                  <a:graphicData uri="http://schemas.microsoft.com/office/word/2010/wordprocessingShape">
                    <wps:wsp>
                      <wps:cNvSpPr txBox="1"/>
                      <wps:spPr>
                        <a:xfrm>
                          <a:off x="2208530" y="4503420"/>
                          <a:ext cx="5334000" cy="10280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
                              <w:rPr>
                                <w:rFonts w:ascii="Arial" w:hAnsi="Arial" w:eastAsia="SimSun" w:cs="Arial"/>
                                <w:i w:val="0"/>
                                <w:iCs w:val="0"/>
                                <w:caps w:val="0"/>
                                <w:color w:val="222222"/>
                                <w:spacing w:val="0"/>
                                <w:sz w:val="19"/>
                                <w:szCs w:val="19"/>
                                <w:shd w:val="clear" w:fill="FFFFFF"/>
                              </w:rPr>
                              <w:t>Metabolic reprogramming and corresponding therapeutic approaches in COVID-19. In COVID-19, tryptophan metabolism, glycolysis and fatty acid metabolism are upregulated, while cholesterol and arginine are decreased. Therapeutic agents targeting the reprogrammed metabolism in COVID-19 are shown in the figure. TCA, trichloroacetic acid; ROS, reactive oxygen species; HIF, hypoxia-inducible factor; FAS, fatty acid synthesis; HMG-CoV, 3-hydroxy-3-methylglutaryl-coenzyme A; IDO, indoleamine-2,3-dioxygenase.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8pt;margin-top:0.15pt;height:80.95pt;width:420pt;z-index:251659264;mso-width-relative:page;mso-height-relative:page;" fillcolor="#FFFFFF [3201]" filled="t" stroked="t" coordsize="21600,21600" o:gfxdata="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">
                <v:fill on="t" focussize="0,0"/>
                <v:stroke weight="0.5pt" color="#000000 [3204]" joinstyle="round"/>
                <v:imagedata o:title=""/>
                <o:lock v:ext="edit" aspectratio="f"/>
                <v:textbox>
                  <w:txbxContent>
                    <w:p>
                      <w:r>
                        <w:rPr>
                          <w:rFonts w:ascii="Arial" w:hAnsi="Arial" w:eastAsia="SimSun" w:cs="Arial"/>
                          <w:i w:val="0"/>
                          <w:iCs w:val="0"/>
                          <w:caps w:val="0"/>
                          <w:color w:val="222222"/>
                          <w:spacing w:val="0"/>
                          <w:sz w:val="19"/>
                          <w:szCs w:val="19"/>
                          <w:shd w:val="clear" w:fill="FFFFFF"/>
                        </w:rPr>
                        <w:t>Metabolic reprogramming and corresponding therapeutic approaches in COVID-19. In COVID-19, tryptophan metabolism, glycolysis and fatty acid metabolism are upregulated, while cholesterol and arginine are decreased. Therapeutic agents targeting the reprogrammed metabolism in COVID-19 are shown in the figure. TCA, trichloroacetic acid; ROS, reactive oxygen species; HIF, hypoxia-inducible factor; FAS, fatty acid synthesis; HMG-CoV, 3-hydroxy-3-methylglutaryl-coenzyme A; IDO, indoleamine-2,3-dioxygenase.</w:t>
                      </w:r>
                    </w:p>
                  </w:txbxContent>
                </v:textbox>
              </v:shape>
            </w:pict>
          </mc:Fallback>
        </mc:AlternateContent>
      </w:r>
    </w:p>
    <w:p>
      <w:pPr>
        <w:ind w:firstLine="720" w:firstLineChars="300"/>
        <w:jc w:val="both"/>
        <w:rPr>
          <w:rFonts w:ascii="SimSun" w:hAnsi="SimSun" w:eastAsia="SimSun" w:cs="SimSun"/>
          <w:sz w:val="24"/>
          <w:szCs w:val="24"/>
        </w:rPr>
      </w:pPr>
    </w:p>
    <w:p>
      <w:pPr>
        <w:ind w:firstLine="720" w:firstLineChars="300"/>
        <w:jc w:val="both"/>
        <w:rPr>
          <w:rFonts w:ascii="SimSun" w:hAnsi="SimSun" w:eastAsia="SimSun" w:cs="SimSun"/>
          <w:sz w:val="24"/>
          <w:szCs w:val="24"/>
        </w:rPr>
      </w:pPr>
    </w:p>
    <w:p>
      <w:pPr>
        <w:ind w:firstLine="720" w:firstLineChars="300"/>
        <w:jc w:val="both"/>
        <w:rPr>
          <w:rFonts w:ascii="SimSun" w:hAnsi="SimSun" w:eastAsia="SimSun" w:cs="SimSun"/>
          <w:sz w:val="24"/>
          <w:szCs w:val="24"/>
        </w:rPr>
      </w:pPr>
    </w:p>
    <w:p>
      <w:pPr>
        <w:ind w:firstLine="720" w:firstLineChars="300"/>
        <w:jc w:val="both"/>
        <w:rPr>
          <w:rFonts w:ascii="SimSun" w:hAnsi="SimSun" w:eastAsia="SimSun" w:cs="SimSun"/>
          <w:sz w:val="24"/>
          <w:szCs w:val="24"/>
        </w:rPr>
      </w:pPr>
    </w:p>
    <w:p>
      <w:pPr>
        <w:ind w:firstLine="720" w:firstLineChars="300"/>
        <w:jc w:val="both"/>
        <w:rPr>
          <w:rFonts w:ascii="SimSun" w:hAnsi="SimSun" w:eastAsia="SimSun" w:cs="SimSun"/>
          <w:sz w:val="24"/>
          <w:szCs w:val="24"/>
        </w:rPr>
      </w:pPr>
    </w:p>
    <w:p>
      <w:pPr>
        <w:jc w:val="both"/>
        <w:rPr>
          <w:rFonts w:hint="default"/>
          <w:color w:val="000000" w:themeColor="text1"/>
          <w:sz w:val="24"/>
          <w:szCs w:val="24"/>
          <w:lang w:val="en-IN"/>
          <w14:textFill>
            <w14:solidFill>
              <w14:schemeClr w14:val="tx1"/>
            </w14:solidFill>
          </w14:textFill>
        </w:rPr>
      </w:pPr>
      <w:r>
        <w:rPr>
          <w:rFonts w:hint="default"/>
          <w:color w:val="000000" w:themeColor="text1"/>
          <w:sz w:val="24"/>
          <w:szCs w:val="24"/>
          <w:lang w:val="en-IN"/>
          <w14:textFill>
            <w14:solidFill>
              <w14:schemeClr w14:val="tx1"/>
            </w14:solidFill>
          </w14:textFill>
        </w:rPr>
        <w:t>Publications</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(2017) “End-Stage” Constrictive Pericarditis—A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6</w:t>
      </w:r>
      <w:r>
        <w:rPr>
          <w:rFonts w:hint="default" w:ascii="Verdana" w:hAnsi="Verdana" w:eastAsia="SimSun" w:cs="Verdana"/>
          <w:i w:val="0"/>
          <w:iCs w:val="0"/>
          <w:caps w:val="0"/>
          <w:color w:val="232323"/>
          <w:spacing w:val="0"/>
          <w:sz w:val="21"/>
          <w:szCs w:val="21"/>
          <w:shd w:val="clear" w:fill="FFFFFF"/>
        </w:rPr>
        <w:t>, 255-273</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(2021) Isolated Acute Rheumatic Pancreatitis—A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10</w:t>
      </w:r>
      <w:r>
        <w:rPr>
          <w:rFonts w:hint="default" w:ascii="Verdana" w:hAnsi="Verdana" w:eastAsia="SimSun" w:cs="Verdana"/>
          <w:i w:val="0"/>
          <w:iCs w:val="0"/>
          <w:caps w:val="0"/>
          <w:color w:val="232323"/>
          <w:spacing w:val="0"/>
          <w:sz w:val="21"/>
          <w:szCs w:val="21"/>
          <w:shd w:val="clear" w:fill="FFFFFF"/>
        </w:rPr>
        <w:t>, 52-77</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(2019) Infective Endocarditis in Tetralogy of Fallot Complicating Brain Abscess—A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8</w:t>
      </w:r>
      <w:r>
        <w:rPr>
          <w:rFonts w:hint="default" w:ascii="Verdana" w:hAnsi="Verdana" w:eastAsia="SimSun" w:cs="Verdana"/>
          <w:i w:val="0"/>
          <w:iCs w:val="0"/>
          <w:caps w:val="0"/>
          <w:color w:val="232323"/>
          <w:spacing w:val="0"/>
          <w:sz w:val="21"/>
          <w:szCs w:val="21"/>
          <w:shd w:val="clear" w:fill="FFFFFF"/>
        </w:rPr>
        <w:t>, 105-126. </w:t>
      </w:r>
    </w:p>
    <w:p>
      <w:pPr>
        <w:numPr>
          <w:ilvl w:val="0"/>
          <w:numId w:val="1"/>
        </w:numPr>
        <w:jc w:val="both"/>
        <w:rPr>
          <w:rFonts w:hint="default" w:ascii="Verdana" w:hAnsi="Verdana" w:eastAsia="SimSun" w:cs="Verdana"/>
          <w:i w:val="0"/>
          <w:iCs w:val="0"/>
          <w:caps w:val="0"/>
          <w:color w:val="232323"/>
          <w:spacing w:val="0"/>
          <w:sz w:val="21"/>
          <w:szCs w:val="21"/>
          <w:shd w:val="clear" w:fill="FFFFFF"/>
        </w:rPr>
      </w:pPr>
      <w:r>
        <w:rPr>
          <w:rFonts w:ascii="Verdana" w:hAnsi="Verdana" w:eastAsia="SimSun" w:cs="Verdana"/>
          <w:i w:val="0"/>
          <w:iCs w:val="0"/>
          <w:caps w:val="0"/>
          <w:color w:val="232323"/>
          <w:spacing w:val="0"/>
          <w:sz w:val="21"/>
          <w:szCs w:val="21"/>
          <w:shd w:val="clear" w:fill="FFFFFF"/>
        </w:rPr>
        <w:t>Muthiah, R. (2018) Native Aortic Valve Endocarditis—A Case Report.</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483-504.</w:t>
      </w:r>
    </w:p>
    <w:p>
      <w:pPr>
        <w:numPr>
          <w:ilvl w:val="0"/>
          <w:numId w:val="1"/>
        </w:numPr>
        <w:ind w:left="0" w:leftChars="0" w:firstLine="0" w:firstLineChars="0"/>
        <w:jc w:val="both"/>
        <w:rPr>
          <w:color w:val="000000" w:themeColor="text1"/>
          <w:sz w:val="24"/>
          <w:szCs w:val="24"/>
          <w14:textFill>
            <w14:solidFill>
              <w14:schemeClr w14:val="tx1"/>
            </w14:solidFill>
          </w14:textFill>
        </w:rPr>
      </w:pPr>
      <w:r>
        <w:rPr>
          <w:rFonts w:hint="default"/>
          <w:color w:val="000000" w:themeColor="text1"/>
          <w:sz w:val="28"/>
          <w:szCs w:val="28"/>
          <w:lang w:val="en-IN"/>
          <w14:textFill>
            <w14:solidFill>
              <w14:schemeClr w14:val="tx1"/>
            </w14:solidFill>
          </w14:textFill>
        </w:rPr>
        <w:drawing>
          <wp:anchor distT="0" distB="0" distL="114300" distR="114300" simplePos="0" relativeHeight="251660288" behindDoc="0" locked="0" layoutInCell="1" allowOverlap="1">
            <wp:simplePos x="0" y="0"/>
            <wp:positionH relativeFrom="column">
              <wp:posOffset>3991610</wp:posOffset>
            </wp:positionH>
            <wp:positionV relativeFrom="paragraph">
              <wp:posOffset>398780</wp:posOffset>
            </wp:positionV>
            <wp:extent cx="1096010" cy="1200785"/>
            <wp:effectExtent l="0" t="0" r="8890" b="18415"/>
            <wp:wrapSquare wrapText="bothSides"/>
            <wp:docPr id="7" name="Picture 7" descr="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Picture1"/>
                    <pic:cNvPicPr>
                      <a:picLocks noChangeAspect="1"/>
                    </pic:cNvPicPr>
                  </pic:nvPicPr>
                  <pic:blipFill>
                    <a:blip r:embed="rId5"/>
                    <a:stretch>
                      <a:fillRect/>
                    </a:stretch>
                  </pic:blipFill>
                  <pic:spPr>
                    <a:xfrm>
                      <a:off x="0" y="0"/>
                      <a:ext cx="1096010" cy="1200785"/>
                    </a:xfrm>
                    <a:prstGeom prst="rect">
                      <a:avLst/>
                    </a:prstGeom>
                  </pic:spPr>
                </pic:pic>
              </a:graphicData>
            </a:graphic>
          </wp:anchor>
        </w:drawing>
      </w:r>
      <w:r>
        <w:rPr>
          <w:rFonts w:ascii="Verdana" w:hAnsi="Verdana" w:eastAsia="SimSun" w:cs="Verdana"/>
          <w:i w:val="0"/>
          <w:iCs w:val="0"/>
          <w:caps w:val="0"/>
          <w:color w:val="232323"/>
          <w:spacing w:val="0"/>
          <w:sz w:val="21"/>
          <w:szCs w:val="21"/>
          <w:shd w:val="clear" w:fill="FFFFFF"/>
        </w:rPr>
        <w:t>Muthiah, R. (2018) Tropical Coronary Artery Disease and Arrhythmogenic Potentials—The Changing Pattern towards Endomyocardial Fibrosis—An Analysis.</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i/>
          <w:iCs/>
          <w:caps w:val="0"/>
          <w:color w:val="232323"/>
          <w:spacing w:val="0"/>
          <w:sz w:val="21"/>
          <w:szCs w:val="21"/>
          <w:shd w:val="clear" w:fill="FFFFFF"/>
        </w:rPr>
        <w:t>Case Reports in Clinical Medicine</w:t>
      </w:r>
      <w:r>
        <w:rPr>
          <w:rFonts w:hint="default" w:ascii="Verdana" w:hAnsi="Verdana" w:eastAsia="SimSun" w:cs="Verdana"/>
          <w:i w:val="0"/>
          <w:iCs w:val="0"/>
          <w:caps w:val="0"/>
          <w:color w:val="232323"/>
          <w:spacing w:val="0"/>
          <w:sz w:val="21"/>
          <w:szCs w:val="21"/>
          <w:shd w:val="clear" w:fill="FFFFFF"/>
        </w:rPr>
        <w:t>, </w:t>
      </w:r>
      <w:r>
        <w:rPr>
          <w:rFonts w:hint="default" w:ascii="Verdana" w:hAnsi="Verdana" w:eastAsia="SimSun" w:cs="Verdana"/>
          <w:b/>
          <w:bCs/>
          <w:i w:val="0"/>
          <w:iCs w:val="0"/>
          <w:caps w:val="0"/>
          <w:color w:val="232323"/>
          <w:spacing w:val="0"/>
          <w:sz w:val="21"/>
          <w:szCs w:val="21"/>
          <w:shd w:val="clear" w:fill="FFFFFF"/>
        </w:rPr>
        <w:t>7</w:t>
      </w:r>
      <w:r>
        <w:rPr>
          <w:rFonts w:hint="default" w:ascii="Verdana" w:hAnsi="Verdana" w:eastAsia="SimSun" w:cs="Verdana"/>
          <w:i w:val="0"/>
          <w:iCs w:val="0"/>
          <w:caps w:val="0"/>
          <w:color w:val="232323"/>
          <w:spacing w:val="0"/>
          <w:sz w:val="21"/>
          <w:szCs w:val="21"/>
          <w:shd w:val="clear" w:fill="FFFFFF"/>
        </w:rPr>
        <w:t>, 397-42</w:t>
      </w:r>
      <w:r>
        <w:rPr>
          <w:rFonts w:hint="default" w:ascii="Verdana" w:hAnsi="Verdana" w:eastAsia="SimSun" w:cs="Verdana"/>
          <w:i w:val="0"/>
          <w:iCs w:val="0"/>
          <w:caps w:val="0"/>
          <w:color w:val="232323"/>
          <w:spacing w:val="0"/>
          <w:sz w:val="21"/>
          <w:szCs w:val="21"/>
          <w:shd w:val="clear" w:fill="FFFFFF"/>
          <w:lang w:val="en-IN"/>
        </w:rPr>
        <w:t>9.</w:t>
      </w: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ind w:firstLine="217"/>
        <w:jc w:val="both"/>
        <w:rPr>
          <w:color w:val="000000" w:themeColor="text1"/>
          <w:sz w:val="24"/>
          <w:szCs w:val="24"/>
          <w14:textFill>
            <w14:solidFill>
              <w14:schemeClr w14:val="tx1"/>
            </w14:solidFill>
          </w14:textFill>
        </w:rPr>
      </w:pP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Biography</w:t>
      </w:r>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ascii="Times New Roman" w:hAnsi="Times New Roman" w:eastAsia="Times New Roman" w:cs="Times New Roman"/>
          <w:color w:val="333333"/>
          <w:sz w:val="20"/>
          <w:szCs w:val="20"/>
        </w:rPr>
        <w:t xml:space="preserve">Ramachandran Muthiah, Consultant Physician &amp; Cardiologist, Zion hospital, Azhagiamandapam and Morning star hospital, Marthandam, Kanyakumari District, India. Completed </w:t>
      </w:r>
      <w:r>
        <w:rPr>
          <w:rFonts w:hint="default" w:ascii="Times New Roman" w:hAnsi="Times New Roman" w:eastAsia="Times New Roman" w:cs="Times New Roman"/>
          <w:color w:val="333333"/>
          <w:sz w:val="20"/>
          <w:szCs w:val="20"/>
          <w:lang w:val="en-IN"/>
        </w:rPr>
        <w:t xml:space="preserve">M.B.B.S (1983 to 1989- Tirunelveli medical college- Madurai kamaraj university), </w:t>
      </w:r>
      <w:r>
        <w:rPr>
          <w:rFonts w:ascii="Times New Roman" w:hAnsi="Times New Roman" w:eastAsia="Times New Roman" w:cs="Times New Roman"/>
          <w:color w:val="333333"/>
          <w:sz w:val="20"/>
          <w:szCs w:val="20"/>
        </w:rPr>
        <w:t>M.D. in General Medicine in 1996</w:t>
      </w:r>
      <w:r>
        <w:rPr>
          <w:rFonts w:hint="default" w:ascii="Times New Roman" w:hAnsi="Times New Roman" w:eastAsia="Times New Roman" w:cs="Times New Roman"/>
          <w:color w:val="333333"/>
          <w:sz w:val="20"/>
          <w:szCs w:val="20"/>
          <w:lang w:val="en-IN"/>
        </w:rPr>
        <w:t xml:space="preserve"> (Tirunelveli medical college)</w:t>
      </w:r>
      <w:r>
        <w:rPr>
          <w:rFonts w:ascii="Times New Roman" w:hAnsi="Times New Roman" w:eastAsia="Times New Roman" w:cs="Times New Roman"/>
          <w:color w:val="333333"/>
          <w:sz w:val="20"/>
          <w:szCs w:val="20"/>
        </w:rPr>
        <w:t>, D.M. in cardiology in 2003</w:t>
      </w:r>
      <w:r>
        <w:rPr>
          <w:rFonts w:hint="default" w:ascii="Times New Roman" w:hAnsi="Times New Roman" w:eastAsia="Times New Roman" w:cs="Times New Roman"/>
          <w:color w:val="333333"/>
          <w:sz w:val="20"/>
          <w:szCs w:val="20"/>
          <w:lang w:val="en-IN"/>
        </w:rPr>
        <w:t xml:space="preserve"> (Madurai medical college)</w:t>
      </w:r>
      <w:r>
        <w:rPr>
          <w:rFonts w:ascii="Times New Roman" w:hAnsi="Times New Roman" w:eastAsia="Times New Roman" w:cs="Times New Roman"/>
          <w:color w:val="333333"/>
          <w:sz w:val="20"/>
          <w:szCs w:val="20"/>
        </w:rPr>
        <w:t xml:space="preserve"> under Tamil Nadu Dr.MGR Medical University, Chennai, India. Worked as medical officer in Rural health services</w:t>
      </w:r>
      <w:r>
        <w:rPr>
          <w:rFonts w:hint="default" w:ascii="Times New Roman" w:hAnsi="Times New Roman" w:eastAsia="Times New Roman" w:cs="Times New Roman"/>
          <w:color w:val="333333"/>
          <w:sz w:val="20"/>
          <w:szCs w:val="20"/>
          <w:lang w:val="en-IN"/>
        </w:rPr>
        <w:t xml:space="preserve"> (keelachekkarakudi- thoothukudi, Aryappapuram- Tenkasi, ESI hospital- singanallur in coimbatore </w:t>
      </w:r>
      <w:r>
        <w:rPr>
          <w:rFonts w:ascii="Times New Roman" w:hAnsi="Times New Roman" w:eastAsia="Times New Roman" w:cs="Times New Roman"/>
          <w:color w:val="333333"/>
          <w:sz w:val="20"/>
          <w:szCs w:val="20"/>
        </w:rPr>
        <w:t xml:space="preserve"> for 5 years and in teaching category as Assistant Professor at Madras medical college, Coimbatore medical college, Thoothukudi medical college and Professor at Dr.SMCSI Mission hospital &amp; Medical college, Karakonam, Tr</w:t>
      </w:r>
      <w:r>
        <w:rPr>
          <w:rFonts w:hint="default" w:ascii="Times New Roman" w:hAnsi="Times New Roman" w:eastAsia="Times New Roman" w:cs="Times New Roman"/>
          <w:color w:val="333333"/>
          <w:sz w:val="20"/>
          <w:szCs w:val="20"/>
          <w:lang w:val="en-IN"/>
        </w:rPr>
        <w:t>i</w:t>
      </w:r>
      <w:r>
        <w:rPr>
          <w:rFonts w:ascii="Times New Roman" w:hAnsi="Times New Roman" w:eastAsia="Times New Roman" w:cs="Times New Roman"/>
          <w:color w:val="333333"/>
          <w:sz w:val="20"/>
          <w:szCs w:val="20"/>
        </w:rPr>
        <w:t xml:space="preserve">vandrum and Azeezia Medical college, Kollam. </w:t>
      </w:r>
      <w:r>
        <w:rPr>
          <w:rFonts w:hint="default" w:ascii="Times New Roman" w:hAnsi="Times New Roman" w:eastAsia="Times New Roman" w:cs="Times New Roman"/>
          <w:color w:val="333333"/>
          <w:sz w:val="20"/>
          <w:szCs w:val="20"/>
          <w:lang w:val="en-IN"/>
        </w:rPr>
        <w:t xml:space="preserve">Consultant at St. Thomas hospital, Pranavam hospital, Little flower mission hospital, vilakudy at Punalur, KNS hospital, kottarakara in kollam district of  kerala state. </w:t>
      </w:r>
      <w:r>
        <w:rPr>
          <w:rFonts w:ascii="Times New Roman" w:hAnsi="Times New Roman" w:eastAsia="Times New Roman" w:cs="Times New Roman"/>
          <w:color w:val="333333"/>
          <w:sz w:val="20"/>
          <w:szCs w:val="20"/>
        </w:rPr>
        <w:t>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shd w:val="clear" w:color="auto" w:fill="FFFFFF"/>
        <w:spacing w:after="150" w:line="240" w:lineRule="auto"/>
        <w:ind w:firstLine="500" w:firstLineChars="250"/>
        <w:jc w:val="both"/>
        <w:rPr>
          <w:rFonts w:ascii="Times New Roman" w:hAnsi="Times New Roman" w:eastAsia="Times New Roman" w:cs="Times New Roman"/>
          <w:color w:val="333333"/>
          <w:sz w:val="20"/>
          <w:szCs w:val="20"/>
        </w:rPr>
      </w:pPr>
      <w:r>
        <w:rPr>
          <w:rFonts w:hint="default" w:ascii="Times New Roman" w:hAnsi="Times New Roman" w:eastAsia="Times New Roman" w:cs="Times New Roman"/>
          <w:color w:val="333333"/>
          <w:sz w:val="20"/>
          <w:szCs w:val="20"/>
          <w:lang w:val="en-IN"/>
        </w:rPr>
        <w:t xml:space="preserve"> Born on 10/5/1966 at keezhkulam village, father Muthiah belongs to Enayam thoppu and mother Swornam belongs to Palaninta vilai, keezhkulam- 629193 in kanyakumari district of Tamil nadu state (landline- +91 4651 203014). Mother’s Grand father- Thangaiah, Grand mother- Ammal belongs to keezhkulam, Father’s Grand father-Karuman belongs to Enayam thoppu). School education as Primary from Aanan villai at keezhkulam (1971 to 1975), Higher secondary from Concordia higher secondary school, Pootteti (1976 to1983) at Theruvukadai of karungal at kanyakumari district. Got married in 1992 with Rajula shanthy, an agricultural scientist at coimbatore and has  one son named as Jeremy and marital status and job position went down in Tamil nadu state from 2004 onwards as transfer  to institute of mental health, kilpauk at chennai from Madras medical college and  career get spoiled as blockage of PhD study at chennai and Interventional cardiology course at Batra heart centre in New Delhi in 2006 on enemity from ruling political men and thereafter done brutal assaults and jail imprisonments in trivandrum district (balaramapuram- medical trust hospital, lodged at Neyatinkara subjail in kerala state) and brutal assaults on my head in kollam district at kalayapuram  CSI mission hospital and Devi hospital, vellarada of kerala state, psychiatric custody at madurai medical college by police arrest from kanyakumari medical college, mental hospital deputation and police arrest from thoothukudi medical college hospital. Killing attempts happened on me at eraviputhurkadai, vettuventhi, vellarada  and chasing away from malayedi of Vilavancode  assembly limits recently. Now attached with a poor orphan girl R.Russulsy and remaining as ‘care - taker’ at present. </w:t>
      </w:r>
    </w:p>
    <w:p>
      <w:pPr>
        <w:autoSpaceDE w:val="0"/>
        <w:autoSpaceDN w:val="0"/>
        <w:adjustRightInd w:val="0"/>
        <w:rPr>
          <w:rFonts w:hint="default"/>
          <w:lang w:val="en-IN"/>
        </w:rPr>
      </w:pPr>
      <w:r>
        <w:rPr>
          <w:b/>
          <w:lang w:val="en-NZ"/>
        </w:rPr>
        <w:t xml:space="preserve">Presenting author details </w:t>
      </w:r>
      <w:r>
        <w:rPr>
          <w:b/>
          <w:lang w:val="en-NZ"/>
        </w:rPr>
        <w:br w:type="textWrapping"/>
      </w:r>
      <w:r>
        <w:rPr>
          <w:lang w:val="en-NZ"/>
        </w:rPr>
        <w:t xml:space="preserve">Full name: </w:t>
      </w:r>
      <w:r>
        <w:rPr>
          <w:rFonts w:hint="default"/>
          <w:lang w:val="en-IN"/>
        </w:rPr>
        <w:t xml:space="preserve">                     Ramachandran Muthiah</w:t>
      </w:r>
      <w:r>
        <w:rPr>
          <w:lang w:val="en-NZ"/>
        </w:rPr>
        <w:br w:type="textWrapping"/>
      </w:r>
      <w:r>
        <w:rPr>
          <w:lang w:val="en-NZ"/>
        </w:rPr>
        <w:t>Contact number:</w:t>
      </w:r>
      <w:r>
        <w:rPr>
          <w:rFonts w:hint="default"/>
          <w:lang w:val="en-IN"/>
        </w:rPr>
        <w:t xml:space="preserve">            +91 7598755201</w:t>
      </w:r>
    </w:p>
    <w:p>
      <w:pPr>
        <w:autoSpaceDE w:val="0"/>
        <w:autoSpaceDN w:val="0"/>
        <w:adjustRightInd w:val="0"/>
        <w:rPr>
          <w:rFonts w:hint="default"/>
          <w:lang w:val="en-IN"/>
        </w:rPr>
      </w:pPr>
      <w:r>
        <w:rPr>
          <w:rFonts w:hint="default"/>
          <w:lang w:val="en-IN"/>
        </w:rPr>
        <w:t xml:space="preserve">                    Landline +91 4651 203014, Palaninta vilai, keezhkulam- 629193, kanyakumari </w:t>
      </w:r>
    </w:p>
    <w:p>
      <w:pPr>
        <w:autoSpaceDE w:val="0"/>
        <w:autoSpaceDN w:val="0"/>
        <w:adjustRightInd w:val="0"/>
        <w:ind w:firstLine="4100" w:firstLineChars="2050"/>
        <w:rPr>
          <w:rFonts w:hint="default"/>
          <w:lang w:val="en-IN"/>
        </w:rPr>
      </w:pPr>
      <w:r>
        <w:rPr>
          <w:rFonts w:hint="default"/>
          <w:lang w:val="en-IN"/>
        </w:rPr>
        <w:t>District, Tamil nadu state, India</w:t>
      </w:r>
    </w:p>
    <w:p>
      <w:pPr>
        <w:autoSpaceDE w:val="0"/>
        <w:autoSpaceDN w:val="0"/>
        <w:adjustRightInd w:val="0"/>
        <w:ind w:firstLine="2200" w:firstLineChars="1100"/>
        <w:rPr>
          <w:lang w:val="en-NZ"/>
        </w:rPr>
      </w:pPr>
      <w:r>
        <w:rPr>
          <w:lang w:val="en-NZ"/>
        </w:rPr>
        <w:br w:type="textWrapping"/>
      </w:r>
      <w:r>
        <w:rPr>
          <w:rFonts w:hint="default"/>
          <w:lang w:val="en-IN"/>
        </w:rPr>
        <w:t>E-mail :  cardioramachandran@yahoo.co.uk</w:t>
      </w:r>
      <w:r>
        <w:rPr>
          <w:lang w:val="en-NZ"/>
        </w:rPr>
        <w:br w:type="textWrapping"/>
      </w:r>
      <w:r>
        <w:rPr>
          <w:lang w:val="en-NZ"/>
        </w:rPr>
        <w:t xml:space="preserve">Category: (Oral presentation/ </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SimSun" w:cs="Times New Roman"/>
          <w:sz w:val="24"/>
          <w:szCs w:val="24"/>
        </w:rPr>
        <w:t xml:space="preserve"> Passport No:</w:t>
      </w:r>
      <w:r>
        <w:rPr>
          <w:rFonts w:hint="default" w:ascii="Times New Roman" w:hAnsi="Times New Roman" w:eastAsia="SimSun" w:cs="Times New Roman"/>
          <w:sz w:val="24"/>
          <w:szCs w:val="24"/>
          <w:lang w:val="en-IN"/>
        </w:rPr>
        <w:t>P8925619</w:t>
      </w:r>
      <w:r>
        <w:rPr>
          <w:rFonts w:ascii="SimSun" w:hAnsi="SimSun" w:eastAsia="SimSun" w:cs="SimSun"/>
          <w:sz w:val="24"/>
          <w:szCs w:val="24"/>
        </w:rPr>
        <w:t xml:space="preserve"> </w:t>
      </w:r>
    </w:p>
    <w:p>
      <w:pPr>
        <w:ind w:firstLine="720" w:firstLineChars="300"/>
        <w:jc w:val="both"/>
        <w:rPr>
          <w:rFonts w:hint="default" w:ascii="SimSun" w:hAnsi="SimSun" w:eastAsia="SimSun" w:cs="SimSun"/>
          <w:sz w:val="24"/>
          <w:szCs w:val="24"/>
          <w:lang w:val="en-IN"/>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Georgia">
    <w:panose1 w:val="02040502050405020303"/>
    <w:charset w:val="00"/>
    <w:family w:val="auto"/>
    <w:pitch w:val="default"/>
    <w:sig w:usb0="00000287" w:usb1="00000000" w:usb2="00000000" w:usb3="00000000" w:csb0="2000009F" w:csb1="00000000"/>
  </w:font>
  <w:font w:name="Verdana">
    <w:panose1 w:val="020B0604030504040204"/>
    <w:charset w:val="00"/>
    <w:family w:val="auto"/>
    <w:pitch w:val="default"/>
    <w:sig w:usb0="A00006FF" w:usb1="4000205B" w:usb2="00000010"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DB4005D"/>
    <w:multiLevelType w:val="singleLevel"/>
    <w:tmpl w:val="EDB4005D"/>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2A1A3A"/>
    <w:rsid w:val="10357869"/>
    <w:rsid w:val="2EAC6BEB"/>
    <w:rsid w:val="392A1A3A"/>
    <w:rsid w:val="3DAE5638"/>
    <w:rsid w:val="44B20913"/>
    <w:rsid w:val="531968C6"/>
    <w:rsid w:val="6F790409"/>
    <w:rsid w:val="703F72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Hyperlink"/>
    <w:basedOn w:val="2"/>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20</TotalTime>
  <ScaleCrop>false</ScaleCrop>
  <LinksUpToDate>false</LinksUpToDate>
  <CharactersWithSpaces>0</CharactersWithSpaces>
  <Application>WPS Office_11.2.0.10426_F1E327BC-269C-435d-A152-05C5408002CA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2022-01-01T12:27:00Z</dcterms:created>
  <dc:creator>PC</dc:creator>
  <cp:lastModifiedBy>PC</cp:lastModifiedBy>
  <dcterms:modified xsi:type="dcterms:W3CDTF">2022-01-02T15:58:22Z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1033-11.2.0.10426</vt:lpwstr>
  </property>
  <property fmtid="{D5CDD505-2E9C-101B-9397-08002B2CF9AE}" pid="3" name="ICV">
    <vt:lpwstr>C2C33A36875D424FA6C90F0B7F7C47C2</vt:lpwstr>
  </property>
</Properties>
</file>