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AD6A5" w14:textId="2D8D39EA" w:rsidR="00AE3E37" w:rsidRDefault="00983768" w:rsidP="00494130">
      <w:pPr>
        <w:pStyle w:val="Heading1"/>
        <w:spacing w:before="170"/>
        <w:ind w:left="0"/>
      </w:pPr>
      <w:r>
        <w:rPr>
          <w:color w:val="337AB7"/>
        </w:rPr>
        <w:t xml:space="preserve">Bariatric Surgery – What the Ophthalmologist Needs </w:t>
      </w:r>
      <w:r w:rsidR="0063381D">
        <w:rPr>
          <w:color w:val="337AB7"/>
        </w:rPr>
        <w:t>to</w:t>
      </w:r>
      <w:r>
        <w:rPr>
          <w:color w:val="337AB7"/>
        </w:rPr>
        <w:t xml:space="preserve"> Know</w:t>
      </w:r>
    </w:p>
    <w:p w14:paraId="6B395261" w14:textId="449BB864" w:rsidR="005973B9" w:rsidRDefault="00983768" w:rsidP="005973B9">
      <w:pPr>
        <w:pStyle w:val="BodyText"/>
        <w:spacing w:before="73" w:line="198" w:lineRule="exact"/>
        <w:ind w:left="100" w:right="5987"/>
        <w:rPr>
          <w:rFonts w:ascii="Arial"/>
        </w:rPr>
      </w:pPr>
      <w:r>
        <w:rPr>
          <w:rFonts w:ascii="Arial"/>
        </w:rPr>
        <w:t>Dr Tushar Hari, FY1 Doctor, Ipswich Hospital, UK</w:t>
      </w:r>
    </w:p>
    <w:p w14:paraId="24FDB73C" w14:textId="26B30E8E" w:rsidR="00983768" w:rsidRDefault="00983768" w:rsidP="005973B9">
      <w:pPr>
        <w:pStyle w:val="BodyText"/>
        <w:spacing w:before="73" w:line="198" w:lineRule="exact"/>
        <w:ind w:left="100" w:right="5987"/>
        <w:rPr>
          <w:rFonts w:ascii="Arial"/>
        </w:rPr>
      </w:pPr>
      <w:r>
        <w:rPr>
          <w:rFonts w:ascii="Arial"/>
        </w:rPr>
        <w:t xml:space="preserve">Dr Samer Elsherbiny, Consultant Ophthalmologist, </w:t>
      </w:r>
      <w:r w:rsidRPr="00983768">
        <w:rPr>
          <w:rFonts w:ascii="Arial"/>
        </w:rPr>
        <w:t>Machen Eye Unit, South Warwickshire NHS Foundation Trust, UK.</w:t>
      </w:r>
    </w:p>
    <w:p w14:paraId="111A364C" w14:textId="77777777" w:rsidR="00AE3E37" w:rsidRDefault="00AE3E37">
      <w:pPr>
        <w:pStyle w:val="BodyText"/>
        <w:rPr>
          <w:rFonts w:ascii="Arial"/>
          <w:sz w:val="20"/>
        </w:rPr>
      </w:pPr>
    </w:p>
    <w:p w14:paraId="0AEB1E14" w14:textId="77777777" w:rsidR="00AE3E37" w:rsidRDefault="00AE3E37">
      <w:pPr>
        <w:rPr>
          <w:rFonts w:ascii="Arial"/>
          <w:sz w:val="21"/>
        </w:rPr>
      </w:pPr>
    </w:p>
    <w:p w14:paraId="187055DF" w14:textId="3E422751" w:rsidR="00983768" w:rsidRDefault="00983768">
      <w:pPr>
        <w:rPr>
          <w:rFonts w:ascii="Arial"/>
          <w:sz w:val="21"/>
        </w:rPr>
        <w:sectPr w:rsidR="00983768">
          <w:headerReference w:type="default" r:id="rId7"/>
          <w:footerReference w:type="default" r:id="rId8"/>
          <w:type w:val="continuous"/>
          <w:pgSz w:w="11910" w:h="16840"/>
          <w:pgMar w:top="1740" w:right="600" w:bottom="840" w:left="620" w:header="541" w:footer="642" w:gutter="0"/>
          <w:cols w:space="720"/>
        </w:sectPr>
      </w:pPr>
    </w:p>
    <w:p w14:paraId="289B19B7" w14:textId="77777777" w:rsidR="00AE3E37" w:rsidRDefault="00A9710C">
      <w:pPr>
        <w:pStyle w:val="Heading3"/>
        <w:spacing w:before="147"/>
        <w:jc w:val="both"/>
      </w:pPr>
      <w:r>
        <w:rPr>
          <w:color w:val="BF5A14"/>
        </w:rPr>
        <w:t>Abstract</w:t>
      </w:r>
      <w:r w:rsidR="00404E5B">
        <w:rPr>
          <w:color w:val="BF5A14"/>
        </w:rPr>
        <w:t xml:space="preserve"> (300 word limit)</w:t>
      </w:r>
    </w:p>
    <w:p w14:paraId="7DBED170" w14:textId="77777777" w:rsidR="00983768" w:rsidRDefault="00983768">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Introduction: </w:t>
      </w:r>
      <w:r w:rsidR="009923FC" w:rsidRPr="009923FC">
        <w:rPr>
          <w:rFonts w:ascii="Tw Cen MT" w:eastAsia="Tw Cen MT" w:hAnsi="Tw Cen MT" w:cs="Tw Cen MT"/>
          <w:b w:val="0"/>
          <w:bCs w:val="0"/>
          <w:sz w:val="18"/>
          <w:szCs w:val="18"/>
        </w:rPr>
        <w:t>The incidence of bariatric surgery is increasing due to obesity being one of our top public health challenges. As such, bariatric-related ophthalmic changes is a potentially new clinical area of knowledge, with increasing published evidence on post-bariatric complications experienced by patients and identified by clinicians.</w:t>
      </w:r>
    </w:p>
    <w:p w14:paraId="5524FF15" w14:textId="77777777" w:rsidR="00983768" w:rsidRDefault="00983768">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Methodology: </w:t>
      </w:r>
      <w:r w:rsidR="009923FC" w:rsidRPr="009923FC">
        <w:rPr>
          <w:rFonts w:ascii="Tw Cen MT" w:eastAsia="Tw Cen MT" w:hAnsi="Tw Cen MT" w:cs="Tw Cen MT"/>
          <w:b w:val="0"/>
          <w:bCs w:val="0"/>
          <w:sz w:val="18"/>
          <w:szCs w:val="18"/>
        </w:rPr>
        <w:t>We reviewed the available literature and summarised the different complications and potential recommendations. A search strategy was conducted with PubMed, Cochrane, Medline, Embase, Allied and Complementary Medicine and DH-DATA databases to look for papers answering our research question: “What are the ophthalmological complications for patients after bariatric surgery?”. Our search gave a total of 61 relevant papers.</w:t>
      </w:r>
    </w:p>
    <w:p w14:paraId="66627C75" w14:textId="77777777" w:rsidR="00983768" w:rsidRDefault="00983768">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Findings: </w:t>
      </w:r>
      <w:r w:rsidR="009923FC" w:rsidRPr="009923FC">
        <w:rPr>
          <w:rFonts w:ascii="Tw Cen MT" w:eastAsia="Tw Cen MT" w:hAnsi="Tw Cen MT" w:cs="Tw Cen MT"/>
          <w:b w:val="0"/>
          <w:bCs w:val="0"/>
          <w:sz w:val="18"/>
          <w:szCs w:val="18"/>
        </w:rPr>
        <w:t>Bariatric surgery, particularly subtypes that cause direct bypass of nutrients from the stomach, lead to nutritional deficiencies. Vitamin A, crucial for proper functioning of body systems and specialised cells, manifests ophthalmologically as corneal ulceration, nyctalopia, conjunctival xerosis and more. Thiamine levels are also depleted, leading to Wernicke’s Encephalopathy. Pre-existing diabetic retinopathy is also noted to worsen sub acutely, although evidence is conflicting. Patients undergoing surgery to treat idiopathic intracranial hypertension would have reduced IOP and resolving papilloedema. Other comorbidities of obesity like HBA1C levels, obstructive sleep apnoea, and metabolic syndrome also resolve post-surgery.</w:t>
      </w:r>
    </w:p>
    <w:p w14:paraId="2B2A8803" w14:textId="0C3F6426" w:rsidR="00AE3E37" w:rsidRPr="00983768" w:rsidRDefault="00983768" w:rsidP="00983768">
      <w:pPr>
        <w:pStyle w:val="Heading3"/>
        <w:spacing w:before="74"/>
      </w:pPr>
      <w:r>
        <w:rPr>
          <w:rFonts w:ascii="Tw Cen MT" w:eastAsia="Tw Cen MT" w:hAnsi="Tw Cen MT" w:cs="Tw Cen MT"/>
          <w:b w:val="0"/>
          <w:bCs w:val="0"/>
          <w:sz w:val="18"/>
          <w:szCs w:val="18"/>
        </w:rPr>
        <w:t xml:space="preserve">Recommendations: </w:t>
      </w:r>
      <w:r w:rsidR="009923FC" w:rsidRPr="009923FC">
        <w:rPr>
          <w:rFonts w:ascii="Tw Cen MT" w:eastAsia="Tw Cen MT" w:hAnsi="Tw Cen MT" w:cs="Tw Cen MT"/>
          <w:b w:val="0"/>
          <w:bCs w:val="0"/>
          <w:sz w:val="18"/>
          <w:szCs w:val="18"/>
        </w:rPr>
        <w:t>History taking remains the cornerstone of medical practice. From the evidence, we suggest consideration of pre-surgery screening for ophthalmic pathology and post-operative monitoring of disease progression. Real-world data needs to continuously be analysed to create definitive management pathways that can help clinicians recognise ophthalmic complications early, improving patient outcomes.</w:t>
      </w:r>
    </w:p>
    <w:p w14:paraId="19B0A20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F52EFC" w14:textId="77777777" w:rsidR="007324E4" w:rsidRPr="007324E4" w:rsidRDefault="007324E4" w:rsidP="007324E4">
      <w:pPr>
        <w:pStyle w:val="ListParagraph"/>
        <w:numPr>
          <w:ilvl w:val="0"/>
          <w:numId w:val="3"/>
        </w:numPr>
        <w:rPr>
          <w:sz w:val="18"/>
        </w:rPr>
      </w:pPr>
      <w:r w:rsidRPr="007324E4">
        <w:rPr>
          <w:sz w:val="18"/>
        </w:rPr>
        <w:t>Elliot L, Frew E, Mollan S, Mitchell J, Yiangou A, Alimajstorovic Z et al. Cost-effectiveness of bariatric surgery versus community weight management to treat obesity-related idiopathic intracranial hypertension: evidence from a single-payer healthcare system. Surgery for Obesity and Related Diseases. 2021;.</w:t>
      </w:r>
    </w:p>
    <w:p w14:paraId="0D68154C" w14:textId="7BA25CA9" w:rsidR="005973B9" w:rsidRPr="007324E4" w:rsidRDefault="007324E4" w:rsidP="007324E4">
      <w:pPr>
        <w:pStyle w:val="ListParagraph"/>
        <w:numPr>
          <w:ilvl w:val="0"/>
          <w:numId w:val="3"/>
        </w:numPr>
        <w:rPr>
          <w:sz w:val="18"/>
        </w:rPr>
      </w:pPr>
      <w:r w:rsidRPr="007324E4">
        <w:rPr>
          <w:sz w:val="18"/>
        </w:rPr>
        <w:t>Oudman E, Wijnia J, Oey M, van Dam M, Postma A. Wernicke-Korsakoff syndrome despite no alcohol abuse: A summary of systematic reports. Journal of the Neurological Sciences. 2021;426:117482</w:t>
      </w:r>
      <w:r w:rsidR="005973B9" w:rsidRPr="007324E4">
        <w:rPr>
          <w:sz w:val="18"/>
        </w:rPr>
        <w:t>.</w:t>
      </w:r>
    </w:p>
    <w:p w14:paraId="11D9506D" w14:textId="77777777" w:rsidR="007324E4" w:rsidRDefault="007324E4" w:rsidP="007324E4">
      <w:pPr>
        <w:pStyle w:val="ListParagraph"/>
        <w:numPr>
          <w:ilvl w:val="0"/>
          <w:numId w:val="3"/>
        </w:numPr>
        <w:rPr>
          <w:sz w:val="18"/>
        </w:rPr>
      </w:pPr>
      <w:r w:rsidRPr="007324E4">
        <w:rPr>
          <w:sz w:val="18"/>
        </w:rPr>
        <w:t>Yu C, Park L, Pinto A, Ma O, Lee Y, Gupta R et al. The Impact of Bariatric Surgery on Diabetic Retinopathy: A Systematic Review and Meta-Analysis. American Journal of Ophthalmology. 2021;225:117-127.</w:t>
      </w:r>
    </w:p>
    <w:p w14:paraId="1784AA40" w14:textId="18911B84" w:rsidR="007324E4" w:rsidRPr="007324E4" w:rsidRDefault="007324E4" w:rsidP="007324E4">
      <w:pPr>
        <w:pStyle w:val="ListParagraph"/>
        <w:numPr>
          <w:ilvl w:val="0"/>
          <w:numId w:val="3"/>
        </w:numPr>
        <w:rPr>
          <w:sz w:val="18"/>
        </w:rPr>
      </w:pPr>
      <w:r w:rsidRPr="007324E4">
        <w:rPr>
          <w:sz w:val="18"/>
        </w:rPr>
        <w:t>Idiopathic Intracranial Hypertension | Cedars-Sinai [Internet]. Cedars-sinai.org. 2021 [cited 9 June 2021]. Available from: https://www.cedars-sinai.org/health-library/diseases-and-conditions/p/pseudotumor-cerebri.html#:~:text=Idiopathic%20intracranial%20hypertension%20(IIH)%20is,called%20cerebrospinal%20fluid%20or%20CSF.</w:t>
      </w:r>
    </w:p>
    <w:p w14:paraId="4051CC6F" w14:textId="26B2E4F0"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7324E4" w:rsidRPr="007324E4">
        <w:rPr>
          <w:rFonts w:ascii="Calibri" w:hAnsi="Calibri"/>
        </w:rPr>
        <w:t>Mollan S, Mitchell J, Ottridge R, Aguiar M, Yiangou A, Alimajstorovic Z et al. Effectiveness of Bariatric Surgery vs Community Weight Management Intervention for the Treatment of Idiopathic Intracranial Hypertension. JAMA Neurology. 2021;.</w:t>
      </w:r>
      <w:r>
        <w:rPr>
          <w:rFonts w:ascii="Calibri" w:hAnsi="Calibri"/>
        </w:rPr>
        <w:t>.</w:t>
      </w:r>
    </w:p>
    <w:p w14:paraId="1D1CA833" w14:textId="77777777" w:rsidR="00AE3E37" w:rsidRPr="008756E6" w:rsidRDefault="00AE3E37" w:rsidP="008756E6">
      <w:pPr>
        <w:tabs>
          <w:tab w:val="left" w:pos="384"/>
        </w:tabs>
        <w:ind w:right="117"/>
      </w:pPr>
    </w:p>
    <w:p w14:paraId="6F6D794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5D18C74" w14:textId="42D1DF46" w:rsidR="00AE3E37" w:rsidRDefault="00AE3E37">
      <w:pPr>
        <w:pStyle w:val="BodyText"/>
        <w:rPr>
          <w:rFonts w:ascii="Calibri"/>
          <w:sz w:val="20"/>
        </w:rPr>
      </w:pPr>
    </w:p>
    <w:p w14:paraId="40F072C5" w14:textId="77777777" w:rsidR="0063381D" w:rsidRDefault="0063381D">
      <w:pPr>
        <w:pStyle w:val="BodyText"/>
        <w:rPr>
          <w:rFonts w:ascii="Calibri"/>
          <w:sz w:val="20"/>
        </w:rPr>
      </w:pPr>
    </w:p>
    <w:p w14:paraId="63060FE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32726AC" wp14:editId="5003613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FB21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E203C1" w14:textId="247BAD0F" w:rsidR="002A196B" w:rsidRDefault="008756E6" w:rsidP="00404E5B">
      <w:pPr>
        <w:spacing w:before="92"/>
        <w:ind w:right="4234"/>
        <w:rPr>
          <w:noProof/>
        </w:rPr>
      </w:pPr>
      <w:r>
        <w:rPr>
          <w:noProof/>
        </w:rPr>
        <w:t xml:space="preserve">    </w:t>
      </w:r>
      <w:r w:rsidR="002A196B">
        <w:rPr>
          <w:noProof/>
        </w:rPr>
        <w:t xml:space="preserve">  </w:t>
      </w:r>
    </w:p>
    <w:p w14:paraId="2BB6F5AE"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24FBE3A3" w14:textId="291BBBB9" w:rsidR="00AE3E37" w:rsidRDefault="00CE16A6">
      <w:pPr>
        <w:spacing w:before="41" w:line="154" w:lineRule="exact"/>
        <w:ind w:left="213" w:right="231"/>
        <w:jc w:val="both"/>
        <w:rPr>
          <w:rFonts w:ascii="Arial"/>
          <w:sz w:val="14"/>
        </w:rPr>
      </w:pPr>
      <w:r>
        <w:rPr>
          <w:rFonts w:ascii="Arial"/>
          <w:sz w:val="14"/>
        </w:rPr>
        <w:t xml:space="preserve">Dr </w:t>
      </w:r>
      <w:r w:rsidR="007324E4">
        <w:rPr>
          <w:rFonts w:ascii="Arial"/>
          <w:sz w:val="14"/>
        </w:rPr>
        <w:t>Tushar Hari is a current junior doctor at Ipswich Hospital</w:t>
      </w:r>
      <w:r w:rsidR="00A9710C">
        <w:rPr>
          <w:rFonts w:ascii="Arial"/>
          <w:sz w:val="14"/>
        </w:rPr>
        <w:t>.</w:t>
      </w:r>
      <w:r w:rsidR="007324E4">
        <w:rPr>
          <w:rFonts w:ascii="Arial"/>
          <w:sz w:val="14"/>
        </w:rPr>
        <w:t xml:space="preserve"> Having an attraction to surgery as a career, he is currently exploring the various subspecialties</w:t>
      </w:r>
      <w:r>
        <w:rPr>
          <w:rFonts w:ascii="Arial"/>
          <w:sz w:val="14"/>
        </w:rPr>
        <w:t xml:space="preserve"> in general and neurosurgery.</w:t>
      </w:r>
      <w:r w:rsidR="007324E4">
        <w:rPr>
          <w:rFonts w:ascii="Arial"/>
          <w:sz w:val="14"/>
        </w:rPr>
        <w:t xml:space="preserve"> He holds a particular interest in bariatric surgical techniques</w:t>
      </w:r>
      <w:r>
        <w:rPr>
          <w:rFonts w:ascii="Arial"/>
          <w:sz w:val="14"/>
        </w:rPr>
        <w:t xml:space="preserve"> and its impact on the patient</w:t>
      </w:r>
      <w:r>
        <w:rPr>
          <w:rFonts w:ascii="Arial"/>
          <w:sz w:val="14"/>
        </w:rPr>
        <w:t>’</w:t>
      </w:r>
      <w:r>
        <w:rPr>
          <w:rFonts w:ascii="Arial"/>
          <w:sz w:val="14"/>
        </w:rPr>
        <w:t xml:space="preserve">s quality of life. With obesity rates rising globally, bariatric surgery is bound to surge in popularity, and along with that the various associated complications. Dr Hari also has a passion for teaching and dissemination of knowledge, having been involved with various conferences in medical education and leading a change in teaching methods of </w:t>
      </w:r>
      <w:r w:rsidR="0063381D">
        <w:rPr>
          <w:rFonts w:ascii="Arial"/>
          <w:sz w:val="14"/>
        </w:rPr>
        <w:t>P</w:t>
      </w:r>
      <w:r>
        <w:rPr>
          <w:rFonts w:ascii="Arial"/>
          <w:sz w:val="14"/>
        </w:rPr>
        <w:t xml:space="preserve">ublic </w:t>
      </w:r>
      <w:r w:rsidR="0063381D">
        <w:rPr>
          <w:rFonts w:ascii="Arial"/>
          <w:sz w:val="14"/>
        </w:rPr>
        <w:t>H</w:t>
      </w:r>
      <w:r>
        <w:rPr>
          <w:rFonts w:ascii="Arial"/>
          <w:sz w:val="14"/>
        </w:rPr>
        <w:t>ealth in the University of Buckingham Medical School.</w:t>
      </w:r>
      <w:r w:rsidR="00A07993">
        <w:rPr>
          <w:rFonts w:ascii="Arial"/>
          <w:sz w:val="14"/>
        </w:rPr>
        <w:t xml:space="preserve"> He looks forward to sharing with other delegates the ophthalmic complications of bariatric surgery at this year</w:t>
      </w:r>
      <w:r w:rsidR="00A07993">
        <w:rPr>
          <w:rFonts w:ascii="Arial"/>
          <w:sz w:val="14"/>
        </w:rPr>
        <w:t>’</w:t>
      </w:r>
      <w:r w:rsidR="00A07993">
        <w:rPr>
          <w:rFonts w:ascii="Arial"/>
          <w:sz w:val="14"/>
        </w:rPr>
        <w:t>s Obesity Summit Conference.</w:t>
      </w:r>
    </w:p>
    <w:p w14:paraId="6E58AC5E" w14:textId="445BEFEF" w:rsidR="00AE3E37" w:rsidRDefault="00A9710C">
      <w:pPr>
        <w:spacing w:before="62"/>
        <w:ind w:left="4217" w:right="4235"/>
        <w:jc w:val="center"/>
        <w:rPr>
          <w:rFonts w:ascii="Arial"/>
          <w:sz w:val="14"/>
        </w:rPr>
      </w:pPr>
      <w:r>
        <w:rPr>
          <w:rFonts w:ascii="Arial"/>
          <w:sz w:val="14"/>
        </w:rPr>
        <w:t>Ema</w:t>
      </w:r>
      <w:r w:rsidR="007324E4">
        <w:rPr>
          <w:rFonts w:ascii="Arial"/>
          <w:sz w:val="14"/>
        </w:rPr>
        <w:t>il: tushar_hari@hotmail.com</w:t>
      </w:r>
    </w:p>
    <w:p w14:paraId="5AD98F4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5AD67BD" wp14:editId="08718BE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AAAC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75A7DD1" w14:textId="77777777" w:rsidR="00AE3E37" w:rsidRDefault="00AE3E37">
      <w:pPr>
        <w:pStyle w:val="BodyText"/>
        <w:rPr>
          <w:rFonts w:ascii="Arial"/>
          <w:sz w:val="20"/>
        </w:rPr>
      </w:pPr>
    </w:p>
    <w:p w14:paraId="1599B1C4" w14:textId="77777777" w:rsidR="00AE3E37" w:rsidRDefault="00AE3E37">
      <w:pPr>
        <w:pStyle w:val="BodyText"/>
        <w:rPr>
          <w:rFonts w:ascii="Arial"/>
          <w:sz w:val="20"/>
        </w:rPr>
      </w:pPr>
    </w:p>
    <w:p w14:paraId="6ACC312F" w14:textId="3A21F6B6" w:rsidR="003370FD" w:rsidRDefault="003370FD" w:rsidP="003370FD">
      <w:pPr>
        <w:autoSpaceDE w:val="0"/>
        <w:autoSpaceDN w:val="0"/>
        <w:adjustRightInd w:val="0"/>
        <w:rPr>
          <w:rFonts w:ascii="Times New Roman" w:eastAsia="Times New Roman" w:hAnsi="Times New Roman" w:cs="Times New Roman"/>
          <w:b/>
          <w:lang w:val="en-NZ"/>
        </w:rPr>
      </w:pPr>
      <w:r>
        <w:rPr>
          <w:b/>
          <w:lang w:val="en-NZ"/>
        </w:rPr>
        <w:t xml:space="preserve">Presenting author details </w:t>
      </w:r>
      <w:r>
        <w:rPr>
          <w:b/>
          <w:lang w:val="en-NZ"/>
        </w:rPr>
        <w:br/>
      </w:r>
      <w:r>
        <w:rPr>
          <w:lang w:val="en-NZ"/>
        </w:rPr>
        <w:t xml:space="preserve">Full name: </w:t>
      </w:r>
      <w:r>
        <w:rPr>
          <w:lang w:val="en-NZ"/>
        </w:rPr>
        <w:t>Tushar Hari</w:t>
      </w:r>
      <w:r>
        <w:rPr>
          <w:lang w:val="en-NZ"/>
        </w:rPr>
        <w:br/>
        <w:t>Contact number:</w:t>
      </w:r>
      <w:r>
        <w:rPr>
          <w:lang w:val="en-NZ"/>
        </w:rPr>
        <w:t xml:space="preserve"> +44 7532757961</w:t>
      </w:r>
      <w:r>
        <w:rPr>
          <w:lang w:val="en-NZ"/>
        </w:rPr>
        <w:br/>
        <w:t>Twitter account:</w:t>
      </w:r>
      <w:r>
        <w:rPr>
          <w:lang w:val="en-NZ"/>
        </w:rPr>
        <w:t xml:space="preserve"> -</w:t>
      </w:r>
      <w:r>
        <w:rPr>
          <w:lang w:val="en-NZ"/>
        </w:rPr>
        <w:br/>
        <w:t>Linked In account:</w:t>
      </w:r>
      <w:r>
        <w:rPr>
          <w:lang w:val="en-NZ"/>
        </w:rPr>
        <w:t xml:space="preserve"> -</w:t>
      </w:r>
    </w:p>
    <w:p w14:paraId="084F81E7" w14:textId="38B38853" w:rsidR="00AE3E37" w:rsidRDefault="003370FD" w:rsidP="003370FD">
      <w:pPr>
        <w:rPr>
          <w:rFonts w:ascii="Minion Pro"/>
          <w:sz w:val="24"/>
        </w:rPr>
        <w:sectPr w:rsidR="00AE3E37">
          <w:type w:val="continuous"/>
          <w:pgSz w:w="11910" w:h="16840"/>
          <w:pgMar w:top="1740" w:right="600" w:bottom="840" w:left="620" w:header="720" w:footer="720" w:gutter="0"/>
          <w:cols w:space="720"/>
        </w:sectPr>
      </w:pPr>
      <w:r>
        <w:rPr>
          <w:lang w:val="en-NZ"/>
        </w:rPr>
        <w:t>Session name/ number:</w:t>
      </w:r>
      <w:r>
        <w:rPr>
          <w:lang w:val="en-NZ"/>
        </w:rPr>
        <w:t xml:space="preserve"> -</w:t>
      </w:r>
      <w:r>
        <w:rPr>
          <w:lang w:val="en-NZ"/>
        </w:rPr>
        <w:br/>
        <w:t xml:space="preserve">Category: </w:t>
      </w:r>
      <w:r>
        <w:rPr>
          <w:lang w:val="en-NZ"/>
        </w:rPr>
        <w:t xml:space="preserve">(Oral) </w:t>
      </w:r>
      <w:r w:rsidR="009035EB">
        <w:rPr>
          <w:lang w:val="en-NZ"/>
        </w:rPr>
        <w:t xml:space="preserve"> Presentation</w:t>
      </w:r>
    </w:p>
    <w:p w14:paraId="6D37328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31441" w14:textId="77777777" w:rsidR="0009008D" w:rsidRDefault="0009008D">
      <w:r>
        <w:separator/>
      </w:r>
    </w:p>
  </w:endnote>
  <w:endnote w:type="continuationSeparator" w:id="0">
    <w:p w14:paraId="0749EC42" w14:textId="77777777" w:rsidR="0009008D" w:rsidRDefault="00090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986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E09F8FC" wp14:editId="6FA1ABC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274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E43D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09F8F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2A2274B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6E43D9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8487931" wp14:editId="7F5E1C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3A0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52562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8793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24A3A08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452562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881C452" wp14:editId="05555E3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893C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BB9EE0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1C45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C2893C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7BB9EE0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7791D" w14:textId="77777777" w:rsidR="0009008D" w:rsidRDefault="0009008D">
      <w:r>
        <w:separator/>
      </w:r>
    </w:p>
  </w:footnote>
  <w:footnote w:type="continuationSeparator" w:id="0">
    <w:p w14:paraId="5BB8B8B8" w14:textId="77777777" w:rsidR="0009008D" w:rsidRDefault="00090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760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E9E0DDA" wp14:editId="508643A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C81C8"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9E0DD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70C81C8"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9DE473E" wp14:editId="6F5FECB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C4B9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52CA8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E473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53C4B9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52CA8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3700"/>
    <w:rsid w:val="0009008D"/>
    <w:rsid w:val="000E2911"/>
    <w:rsid w:val="001263DF"/>
    <w:rsid w:val="00292ED9"/>
    <w:rsid w:val="002A196B"/>
    <w:rsid w:val="002B2804"/>
    <w:rsid w:val="003370FD"/>
    <w:rsid w:val="00404E5B"/>
    <w:rsid w:val="00414F7B"/>
    <w:rsid w:val="004355DC"/>
    <w:rsid w:val="004749B4"/>
    <w:rsid w:val="00494130"/>
    <w:rsid w:val="004E186D"/>
    <w:rsid w:val="004F3523"/>
    <w:rsid w:val="005973B9"/>
    <w:rsid w:val="005B3A56"/>
    <w:rsid w:val="006060CE"/>
    <w:rsid w:val="0063381D"/>
    <w:rsid w:val="0063497F"/>
    <w:rsid w:val="007324E4"/>
    <w:rsid w:val="00873DF0"/>
    <w:rsid w:val="008756E6"/>
    <w:rsid w:val="009035EB"/>
    <w:rsid w:val="00983768"/>
    <w:rsid w:val="009923FC"/>
    <w:rsid w:val="009B2D44"/>
    <w:rsid w:val="00A07993"/>
    <w:rsid w:val="00A07E82"/>
    <w:rsid w:val="00A9710C"/>
    <w:rsid w:val="00AE3E37"/>
    <w:rsid w:val="00B21A57"/>
    <w:rsid w:val="00C33602"/>
    <w:rsid w:val="00CD6F55"/>
    <w:rsid w:val="00CE16A6"/>
    <w:rsid w:val="00D570DB"/>
    <w:rsid w:val="00DE1AF1"/>
    <w:rsid w:val="00DE3104"/>
    <w:rsid w:val="00E74EAE"/>
    <w:rsid w:val="00E95A72"/>
    <w:rsid w:val="00F330A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695B2"/>
  <w15:docId w15:val="{177FB285-6EA1-4D76-BBE7-D9C734134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lang w:val="en-GB"/>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753181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Tushar Hari</cp:lastModifiedBy>
  <cp:revision>4</cp:revision>
  <dcterms:created xsi:type="dcterms:W3CDTF">2021-11-08T21:37:00Z</dcterms:created>
  <dcterms:modified xsi:type="dcterms:W3CDTF">2021-11-08T21:38:00Z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