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6678A" w14:textId="77777777" w:rsidR="00C64D2A" w:rsidRDefault="00C64D2A" w:rsidP="00C64D2A">
      <w:pPr>
        <w:rPr>
          <w:b/>
          <w:bCs/>
          <w:sz w:val="32"/>
          <w:szCs w:val="32"/>
        </w:rPr>
      </w:pPr>
      <w:r>
        <w:rPr>
          <w:b/>
          <w:bCs/>
          <w:sz w:val="32"/>
          <w:szCs w:val="32"/>
        </w:rPr>
        <w:t>Intravascular papillary endothelial tumor of the adrenal gland: A case report and review of literature</w:t>
      </w:r>
    </w:p>
    <w:p w14:paraId="675EC9D6" w14:textId="77777777" w:rsidR="00C64D2A" w:rsidRDefault="00C64D2A" w:rsidP="00C64D2A">
      <w:pPr>
        <w:rPr>
          <w:b/>
          <w:bCs/>
          <w:sz w:val="32"/>
          <w:szCs w:val="32"/>
        </w:rPr>
      </w:pPr>
      <w:r>
        <w:rPr>
          <w:b/>
          <w:bCs/>
          <w:sz w:val="32"/>
          <w:szCs w:val="32"/>
        </w:rPr>
        <w:t>A rare case report of Intravascular papillary endothelial tumor in the adrenal gland</w:t>
      </w:r>
    </w:p>
    <w:p w14:paraId="3A71F321" w14:textId="7DB30EEF" w:rsidR="00C64D2A" w:rsidRPr="00122613" w:rsidRDefault="00C64D2A" w:rsidP="00C64D2A">
      <w:r>
        <w:t>Midhat a</w:t>
      </w:r>
      <w:r w:rsidR="00B20506">
        <w:t xml:space="preserve">bu Sneineh1 , Anna </w:t>
      </w:r>
      <w:proofErr w:type="spellStart"/>
      <w:r w:rsidR="00B20506">
        <w:t>Kirshtien1</w:t>
      </w:r>
      <w:proofErr w:type="spellEnd"/>
      <w:r w:rsidR="00B20506">
        <w:t xml:space="preserve"> ,</w:t>
      </w:r>
      <w:bookmarkStart w:id="0" w:name="_GoBack"/>
      <w:bookmarkEnd w:id="0"/>
      <w:r w:rsidR="00B20506">
        <w:t xml:space="preserve">, Sonia </w:t>
      </w:r>
      <w:proofErr w:type="spellStart"/>
      <w:r w:rsidR="00B20506">
        <w:t>Mendlovic</w:t>
      </w:r>
      <w:proofErr w:type="spellEnd"/>
      <w:r w:rsidR="00B20506">
        <w:t xml:space="preserve"> 3,</w:t>
      </w:r>
      <w:r w:rsidRPr="00122613">
        <w:t>, Hasan Kais</w:t>
      </w:r>
      <w:r w:rsidRPr="00122613">
        <w:rPr>
          <w:vertAlign w:val="superscript"/>
        </w:rPr>
        <w:t>2</w:t>
      </w:r>
      <w:r w:rsidRPr="00122613">
        <w:br/>
        <w:t xml:space="preserve">1.Division of General Surgery, Assaf Harofeh Medical Center, </w:t>
      </w:r>
      <w:proofErr w:type="spellStart"/>
      <w:r w:rsidRPr="00122613">
        <w:t>Tzrifin</w:t>
      </w:r>
      <w:proofErr w:type="spellEnd"/>
      <w:r w:rsidRPr="00122613">
        <w:t xml:space="preserve">, Israel , 2.Division of Surgery, Assaf Harofeh Medical Center, </w:t>
      </w:r>
      <w:proofErr w:type="spellStart"/>
      <w:r w:rsidRPr="00122613">
        <w:t>Tzrifin</w:t>
      </w:r>
      <w:proofErr w:type="spellEnd"/>
      <w:r w:rsidRPr="00122613">
        <w:t xml:space="preserve">, Israel , 3.Department of Pathology, Assaf Harofeh Medical Center, </w:t>
      </w:r>
      <w:proofErr w:type="spellStart"/>
      <w:r w:rsidRPr="00122613">
        <w:t>Tzrifin</w:t>
      </w:r>
      <w:proofErr w:type="spellEnd"/>
      <w:r w:rsidRPr="00122613">
        <w:t>, Israel</w:t>
      </w:r>
    </w:p>
    <w:p w14:paraId="40891167" w14:textId="77777777" w:rsidR="00C64D2A" w:rsidRDefault="00C64D2A" w:rsidP="00C64D2A">
      <w:pPr>
        <w:rPr>
          <w:b/>
          <w:bCs/>
          <w:sz w:val="32"/>
          <w:szCs w:val="32"/>
        </w:rPr>
      </w:pPr>
    </w:p>
    <w:p w14:paraId="656D8325" w14:textId="77777777" w:rsidR="00C64D2A" w:rsidRDefault="00C64D2A" w:rsidP="00C64D2A">
      <w:pPr>
        <w:rPr>
          <w:b/>
          <w:bCs/>
        </w:rPr>
      </w:pPr>
      <w:r>
        <w:rPr>
          <w:b/>
          <w:bCs/>
        </w:rPr>
        <w:t>Abstract:</w:t>
      </w:r>
    </w:p>
    <w:p w14:paraId="354CFD68" w14:textId="77777777" w:rsidR="00C64D2A" w:rsidRDefault="00C64D2A" w:rsidP="00C64D2A">
      <w:pPr>
        <w:autoSpaceDE w:val="0"/>
        <w:autoSpaceDN w:val="0"/>
        <w:adjustRightInd w:val="0"/>
        <w:spacing w:after="0" w:line="240" w:lineRule="auto"/>
        <w:rPr>
          <w:b/>
          <w:bCs/>
        </w:rPr>
      </w:pPr>
      <w:r>
        <w:t xml:space="preserve">Intravascular Papillary Endothelial Hyperplasia (IPEH) or Masson’s Tumor is a benign vascular tumor, most commonly seen on the skin and usually on the head, neck or extremities. It is more common in women with no age predilection. Visceral involvement is very rare, with about 30 intra-abdominal reports. We present a case report of a 58 year old woman who underwent a CT scan due to dysphagia complaints, with an incidental known finding of growth in the adrenal adenoma, which was 5 cm in diameter on hospitalization. </w:t>
      </w:r>
      <w:r>
        <w:rPr>
          <w:rFonts w:cs="Times New Roman"/>
        </w:rPr>
        <w:t>T</w:t>
      </w:r>
      <w:r w:rsidRPr="00F64502">
        <w:rPr>
          <w:rFonts w:cs="Times New Roman"/>
        </w:rPr>
        <w:t>he patient</w:t>
      </w:r>
      <w:r>
        <w:rPr>
          <w:rFonts w:cs="Times New Roman"/>
        </w:rPr>
        <w:t xml:space="preserve"> </w:t>
      </w:r>
      <w:r w:rsidRPr="00F64502">
        <w:rPr>
          <w:rFonts w:cs="Times New Roman"/>
        </w:rPr>
        <w:t xml:space="preserve">underwent laparoscopic </w:t>
      </w:r>
      <w:proofErr w:type="spellStart"/>
      <w:r w:rsidRPr="00F64502">
        <w:rPr>
          <w:rFonts w:cs="Times New Roman"/>
        </w:rPr>
        <w:t>adrenalectomy</w:t>
      </w:r>
      <w:proofErr w:type="spellEnd"/>
      <w:r>
        <w:t xml:space="preserve">. Biopsy results demonstrated a brownish yellow lesion, 2.8 cm in diameter, composed of a blood clot and </w:t>
      </w:r>
      <w:proofErr w:type="spellStart"/>
      <w:r>
        <w:t>septate</w:t>
      </w:r>
      <w:proofErr w:type="spellEnd"/>
      <w:r>
        <w:t xml:space="preserve">. Immunochemical staining for CD31 and CD34 was positive and the lesion was diagnosed as an IPEH of pure form. Our review of literature examines different forms of IPEH, previous reports and characteristics of Masson’s tumors in the adrenal gland and stratifies ways of </w:t>
      </w:r>
      <w:r w:rsidRPr="00A57FDD">
        <w:rPr>
          <w:rFonts w:cs="Times New Roman"/>
        </w:rPr>
        <w:t xml:space="preserve">differentiation </w:t>
      </w:r>
      <w:r>
        <w:rPr>
          <w:rFonts w:cs="Times New Roman"/>
        </w:rPr>
        <w:t xml:space="preserve">it </w:t>
      </w:r>
      <w:r w:rsidRPr="00A57FDD">
        <w:rPr>
          <w:rFonts w:cs="Times New Roman"/>
        </w:rPr>
        <w:t>from other benign or malignant lesions of the adrenal.</w:t>
      </w:r>
    </w:p>
    <w:p w14:paraId="65A245E3" w14:textId="77777777" w:rsidR="00C64D2A" w:rsidRPr="00243256" w:rsidRDefault="00C64D2A" w:rsidP="00C64D2A"/>
    <w:p w14:paraId="1D5FFDC4" w14:textId="77777777" w:rsidR="00C64D2A" w:rsidRPr="00391F7C" w:rsidRDefault="00C64D2A" w:rsidP="00C64D2A">
      <w:pPr>
        <w:rPr>
          <w:b/>
          <w:bCs/>
        </w:rPr>
      </w:pPr>
      <w:r w:rsidRPr="00391F7C">
        <w:rPr>
          <w:b/>
          <w:bCs/>
        </w:rPr>
        <w:t>Introduction:</w:t>
      </w:r>
    </w:p>
    <w:p w14:paraId="06971C0D" w14:textId="77777777" w:rsidR="00C64D2A" w:rsidRDefault="00C64D2A" w:rsidP="00C64D2A">
      <w:r>
        <w:t>Intravascular Papillary Endothelial Hyperplasia (IPEH), also known as Masson’s Tumor, is a rare, benign, vascular tumor. It was first described in 1923 by Pierre Masson, as an intravascular papillary proliferation, formed within an inflamed hemorrhoidal plexus. He described it as a neoplasm- a proliferation of endothelial cells within a lumen, which is later followed by obstruction, secondary degeneration and necrosis [1].  Later on the lesion was defined as a hyperplasia rather than a neoplasm and was differentiated from similar proliferation of sarcomas, as being completely benign [3].</w:t>
      </w:r>
    </w:p>
    <w:p w14:paraId="6E1BDC03" w14:textId="77777777" w:rsidR="00C64D2A" w:rsidRDefault="00C64D2A" w:rsidP="00C64D2A">
      <w:r>
        <w:t xml:space="preserve">IPEH is most commonly seen in the skin of the head, neck and hands, representing 2% of all skin tumors [4]. The lesion is usually located in the deep dermal or subcutaneous tissue.  Involvement of visceral organs with IPEHis rare. However, there are case reports of IPEH arising in various additional organs, including: liver, GI tract, renal sinus, as well as chest wall and lung [5-8]. The lesion could occur in both men and women, however although no explanations involving hormonal influence have been </w:t>
      </w:r>
      <w:proofErr w:type="spellStart"/>
      <w:r>
        <w:t>found,it</w:t>
      </w:r>
      <w:proofErr w:type="spellEnd"/>
      <w:r>
        <w:t xml:space="preserve"> is slightly more common in women (64%). </w:t>
      </w:r>
      <w:r w:rsidRPr="00657C50">
        <w:t xml:space="preserve">The age range at which </w:t>
      </w:r>
      <w:r>
        <w:t>IPEH</w:t>
      </w:r>
      <w:r w:rsidRPr="00657C50">
        <w:t xml:space="preserve"> can be diagnosed is very broad</w:t>
      </w:r>
      <w:r>
        <w:t xml:space="preserve">; cases have been reported from the </w:t>
      </w:r>
      <w:proofErr w:type="spellStart"/>
      <w:r>
        <w:t>ageof</w:t>
      </w:r>
      <w:proofErr w:type="spellEnd"/>
      <w:r>
        <w:t xml:space="preserve"> 7 months to 81 years, with the average age of 38.9 years [5].</w:t>
      </w:r>
    </w:p>
    <w:p w14:paraId="3DD44F42" w14:textId="77777777" w:rsidR="00C64D2A" w:rsidRDefault="00C64D2A" w:rsidP="00C64D2A">
      <w:pPr>
        <w:contextualSpacing/>
      </w:pPr>
      <w:r>
        <w:lastRenderedPageBreak/>
        <w:t>The particular reactive process in IPEH consists of endothelial cells organizing and proliferating around an intravascular thrombus. Histologically IPEH a</w:t>
      </w:r>
      <w:r w:rsidRPr="009A1738">
        <w:t>ppearance</w:t>
      </w:r>
      <w:r>
        <w:t xml:space="preserve"> most resembles a granulation process. There are three forms of IPEH [5, 13]:</w:t>
      </w:r>
    </w:p>
    <w:p w14:paraId="14F16DAC" w14:textId="77777777" w:rsidR="00C64D2A" w:rsidRDefault="00C64D2A" w:rsidP="00C64D2A">
      <w:pPr>
        <w:contextualSpacing/>
      </w:pPr>
      <w:r>
        <w:t xml:space="preserve">  (a) Primary or pure form- the most common form (55.8%). It occurs in dilated blood vessels, more often veins than arteries, without a primary co-morbidity that could cause it’s arise.  </w:t>
      </w:r>
    </w:p>
    <w:p w14:paraId="0D091908" w14:textId="77777777" w:rsidR="00C64D2A" w:rsidRDefault="00C64D2A" w:rsidP="00C64D2A">
      <w:pPr>
        <w:contextualSpacing/>
      </w:pPr>
      <w:r>
        <w:t xml:space="preserve">(b) Secondary or mixed form- composes 39.9% of IPEHs. This form of endothelial proliferation occurs around a pre-existing intravascular lesion, such as: </w:t>
      </w:r>
      <w:proofErr w:type="spellStart"/>
      <w:r>
        <w:t>arterio-venous</w:t>
      </w:r>
      <w:proofErr w:type="spellEnd"/>
      <w:r>
        <w:t xml:space="preserve"> malformations, pyogenic </w:t>
      </w:r>
      <w:proofErr w:type="spellStart"/>
      <w:r>
        <w:t>granulomatosis</w:t>
      </w:r>
      <w:proofErr w:type="spellEnd"/>
      <w:r>
        <w:t xml:space="preserve">, venous thrombosis caused by different chronic illnesses but most commonly around </w:t>
      </w:r>
      <w:proofErr w:type="spellStart"/>
      <w:r>
        <w:t>hemangiomas</w:t>
      </w:r>
      <w:proofErr w:type="spellEnd"/>
      <w:r>
        <w:t>.</w:t>
      </w:r>
    </w:p>
    <w:p w14:paraId="31120E91" w14:textId="77777777" w:rsidR="00C64D2A" w:rsidRDefault="00C64D2A" w:rsidP="00C64D2A">
      <w:pPr>
        <w:contextualSpacing/>
      </w:pPr>
      <w:r>
        <w:t>(c) Extra-vascular form- The rarest form (4.3%). In this case, an extra-vascular pre-exciting hematoma, usually trauma- induced, serves as a template for the endothelial proliferation.</w:t>
      </w:r>
    </w:p>
    <w:p w14:paraId="1CC58F2B" w14:textId="77777777" w:rsidR="00C64D2A" w:rsidRDefault="00C64D2A" w:rsidP="00C64D2A">
      <w:r w:rsidRPr="00087951">
        <w:t>Surgical resection is considered curative if the resection in executed with clear margins or if the IPEH is of pure form.  However, there is a 7-10% chance of recurrence in the mixed or extra-vascular forms [5, 14].</w:t>
      </w:r>
    </w:p>
    <w:p w14:paraId="62122AD4" w14:textId="77777777" w:rsidR="00C64D2A" w:rsidRDefault="00C64D2A" w:rsidP="00C64D2A">
      <w:r>
        <w:t xml:space="preserve">The aim of this case report is to describe a highly uncommon presentation of Masson’s tumor, located in the adrenal gland. Using a search engine provided by Assaf Harofeh Medical Center to screen </w:t>
      </w:r>
      <w:proofErr w:type="spellStart"/>
      <w:r>
        <w:t>pubmed</w:t>
      </w:r>
      <w:proofErr w:type="spellEnd"/>
      <w:r>
        <w:t>, we searched for all reports of Masson's tumor in the adrenal glands. The first description of IPEH was published  in 1986 by Kawashima et al. [9], and only 7 additional cases have been describes since then [10-12].</w:t>
      </w:r>
    </w:p>
    <w:p w14:paraId="6E01E86B" w14:textId="77777777" w:rsidR="00C64D2A" w:rsidRDefault="00C64D2A" w:rsidP="00C64D2A"/>
    <w:p w14:paraId="5A3E562B" w14:textId="77777777" w:rsidR="00C64D2A" w:rsidRPr="00391F7C" w:rsidRDefault="00C64D2A" w:rsidP="00C64D2A">
      <w:pPr>
        <w:rPr>
          <w:b/>
          <w:bCs/>
        </w:rPr>
      </w:pPr>
      <w:r w:rsidRPr="00391F7C">
        <w:rPr>
          <w:b/>
          <w:bCs/>
        </w:rPr>
        <w:t>Case report:</w:t>
      </w:r>
    </w:p>
    <w:p w14:paraId="247C8EDB" w14:textId="77777777" w:rsidR="00C64D2A" w:rsidRDefault="00C64D2A" w:rsidP="00C64D2A">
      <w:r>
        <w:t xml:space="preserve">A 58 year old female with complaints of </w:t>
      </w:r>
      <w:proofErr w:type="spellStart"/>
      <w:r>
        <w:t>dyspagia</w:t>
      </w:r>
      <w:proofErr w:type="spellEnd"/>
      <w:r>
        <w:t xml:space="preserve"> and a suspected esophageal spasm was admitted to undergo a CT scan.  Her medical history was only significant for hypercholesterolemia and a previous asymptomatic radiological finding in her right adrenal gland, which was under periodic observation.  Surgical history was unremarkable. </w:t>
      </w:r>
    </w:p>
    <w:p w14:paraId="59813C3A" w14:textId="77777777" w:rsidR="00C64D2A" w:rsidRDefault="00C64D2A" w:rsidP="00C64D2A">
      <w:r>
        <w:t xml:space="preserve">The current CT scan demonstrated a growth of the known adrenal adenoma, which was now measured to be 5 cm in diameter. The patient went through a full endocrine evaluation without any pathological findings. However, due to the estimated size of the adenoma, it was decided to perform a laparoscopic resection of the adrenal gland. The operation was performed under general anesthesia and the detected mass was fully resected. Post-operative duration was normal without any complications. </w:t>
      </w:r>
    </w:p>
    <w:p w14:paraId="4DF060A6" w14:textId="77777777" w:rsidR="00C64D2A" w:rsidRPr="00391F7C" w:rsidRDefault="00C64D2A" w:rsidP="00C64D2A">
      <w:pPr>
        <w:rPr>
          <w:b/>
          <w:bCs/>
        </w:rPr>
      </w:pPr>
      <w:r w:rsidRPr="00391F7C">
        <w:rPr>
          <w:b/>
          <w:bCs/>
        </w:rPr>
        <w:t>Biopsy results:</w:t>
      </w:r>
    </w:p>
    <w:p w14:paraId="19B8A982" w14:textId="77777777" w:rsidR="00C64D2A" w:rsidRDefault="00C64D2A" w:rsidP="00C64D2A">
      <w:r>
        <w:t xml:space="preserve">A 45 gr. adrenal gland ( 5.5x4.3x1.3 cm) was harvested. Within the gland a brownish yellow lesion, soft and elastic, easily disseminated with a 2.8 diameter was observed. The lesion was composed of a blood clot and was </w:t>
      </w:r>
      <w:proofErr w:type="spellStart"/>
      <w:r>
        <w:t>septated</w:t>
      </w:r>
      <w:proofErr w:type="spellEnd"/>
      <w:r>
        <w:t>. Immunochemical staining for CD31 and CD34 (markers of endothelial cells)were positive, while staining for CD40 was negative. Microscopic imaging detected short papillary structures laminated with a single layer of endothelial cells.</w:t>
      </w:r>
    </w:p>
    <w:p w14:paraId="5C4B949A" w14:textId="77777777" w:rsidR="00C64D2A" w:rsidRPr="00391F7C" w:rsidRDefault="00C64D2A" w:rsidP="00C64D2A">
      <w:pPr>
        <w:rPr>
          <w:b/>
          <w:bCs/>
        </w:rPr>
      </w:pPr>
      <w:r w:rsidRPr="00391F7C">
        <w:rPr>
          <w:b/>
          <w:bCs/>
        </w:rPr>
        <w:lastRenderedPageBreak/>
        <w:t>Pathology:</w:t>
      </w:r>
    </w:p>
    <w:p w14:paraId="5A90B082" w14:textId="77777777" w:rsidR="00C64D2A" w:rsidRDefault="00C64D2A" w:rsidP="00C64D2A">
      <w:pPr>
        <w:rPr>
          <w:b/>
          <w:bCs/>
        </w:rPr>
      </w:pPr>
    </w:p>
    <w:p w14:paraId="7BD05FE3" w14:textId="77777777" w:rsidR="00C64D2A" w:rsidRDefault="00C64D2A" w:rsidP="00C64D2A">
      <w:pPr>
        <w:rPr>
          <w:b/>
          <w:bCs/>
        </w:rPr>
      </w:pPr>
    </w:p>
    <w:p w14:paraId="03FB808E" w14:textId="77777777" w:rsidR="00C64D2A" w:rsidRDefault="00C64D2A" w:rsidP="00C64D2A">
      <w:pPr>
        <w:rPr>
          <w:b/>
          <w:bCs/>
        </w:rPr>
      </w:pPr>
    </w:p>
    <w:p w14:paraId="627F6914" w14:textId="6B779E55" w:rsidR="00C64D2A" w:rsidRDefault="00C64D2A" w:rsidP="00C64D2A">
      <w:pPr>
        <w:rPr>
          <w:b/>
          <w:bCs/>
        </w:rPr>
      </w:pPr>
      <w:r>
        <w:rPr>
          <w:b/>
          <w:bCs/>
          <w:noProof/>
          <w:lang w:bidi="ar-SA"/>
        </w:rPr>
        <w:drawing>
          <wp:anchor distT="0" distB="0" distL="114300" distR="114300" simplePos="0" relativeHeight="251661312" behindDoc="1" locked="0" layoutInCell="1" allowOverlap="1" wp14:anchorId="31103A84" wp14:editId="56A1B0B8">
            <wp:simplePos x="0" y="0"/>
            <wp:positionH relativeFrom="column">
              <wp:posOffset>-514985</wp:posOffset>
            </wp:positionH>
            <wp:positionV relativeFrom="paragraph">
              <wp:posOffset>-590550</wp:posOffset>
            </wp:positionV>
            <wp:extent cx="3146425" cy="2359660"/>
            <wp:effectExtent l="19050" t="0" r="0" b="0"/>
            <wp:wrapTight wrapText="bothSides">
              <wp:wrapPolygon edited="0">
                <wp:start x="-131" y="0"/>
                <wp:lineTo x="-131" y="21449"/>
                <wp:lineTo x="21578" y="21449"/>
                <wp:lineTo x="21578" y="0"/>
                <wp:lineTo x="-131" y="0"/>
              </wp:wrapPolygon>
            </wp:wrapTight>
            <wp:docPr id="27" name="תמונה 27" descr="C:\Users\maayan\Desktop\case report\תמונה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aayan\Desktop\case report\תמונה 1.jpg"/>
                    <pic:cNvPicPr>
                      <a:picLocks noChangeAspect="1" noChangeArrowheads="1"/>
                    </pic:cNvPicPr>
                  </pic:nvPicPr>
                  <pic:blipFill>
                    <a:blip r:embed="rId6" cstate="print"/>
                    <a:srcRect/>
                    <a:stretch>
                      <a:fillRect/>
                    </a:stretch>
                  </pic:blipFill>
                  <pic:spPr bwMode="auto">
                    <a:xfrm>
                      <a:off x="0" y="0"/>
                      <a:ext cx="3146425" cy="2359660"/>
                    </a:xfrm>
                    <a:prstGeom prst="rect">
                      <a:avLst/>
                    </a:prstGeom>
                    <a:noFill/>
                    <a:ln w="9525">
                      <a:noFill/>
                      <a:miter lim="800000"/>
                      <a:headEnd/>
                      <a:tailEnd/>
                    </a:ln>
                  </pic:spPr>
                </pic:pic>
              </a:graphicData>
            </a:graphic>
          </wp:anchor>
        </w:drawing>
      </w:r>
    </w:p>
    <w:p w14:paraId="4CEF0586" w14:textId="62EEF746" w:rsidR="00C64D2A" w:rsidRDefault="00C64D2A" w:rsidP="00C64D2A">
      <w:pPr>
        <w:rPr>
          <w:b/>
          <w:bCs/>
        </w:rPr>
      </w:pPr>
    </w:p>
    <w:p w14:paraId="08B3B6AE" w14:textId="77777777" w:rsidR="00C64D2A" w:rsidRDefault="00C64D2A" w:rsidP="00C64D2A">
      <w:pPr>
        <w:rPr>
          <w:b/>
          <w:bCs/>
        </w:rPr>
      </w:pPr>
    </w:p>
    <w:p w14:paraId="7173F23F" w14:textId="277F93A9" w:rsidR="00C64D2A" w:rsidRDefault="00C64D2A" w:rsidP="00C64D2A">
      <w:pPr>
        <w:rPr>
          <w:b/>
          <w:bCs/>
        </w:rPr>
      </w:pPr>
    </w:p>
    <w:p w14:paraId="645079B5" w14:textId="36772590" w:rsidR="00174918" w:rsidRDefault="00174918" w:rsidP="00C64D2A">
      <w:pPr>
        <w:rPr>
          <w:b/>
          <w:bCs/>
        </w:rPr>
      </w:pPr>
    </w:p>
    <w:p w14:paraId="13E8DBA2" w14:textId="673E92EB" w:rsidR="00174918" w:rsidRDefault="00174918" w:rsidP="00C64D2A">
      <w:pPr>
        <w:rPr>
          <w:b/>
          <w:bCs/>
        </w:rPr>
      </w:pPr>
    </w:p>
    <w:p w14:paraId="66971CA2" w14:textId="390C7F93" w:rsidR="00174918" w:rsidRDefault="00174918" w:rsidP="00C64D2A">
      <w:pPr>
        <w:rPr>
          <w:b/>
          <w:bCs/>
        </w:rPr>
      </w:pPr>
      <w:r>
        <w:rPr>
          <w:b/>
          <w:bCs/>
        </w:rPr>
        <w:t>(1)</w:t>
      </w:r>
      <w:r w:rsidR="003C33E0">
        <w:rPr>
          <w:b/>
          <w:bCs/>
        </w:rPr>
        <w:t xml:space="preserve"> H&amp;E stain</w:t>
      </w:r>
    </w:p>
    <w:p w14:paraId="3C313894" w14:textId="02C24DDA" w:rsidR="00174918" w:rsidRDefault="00174918" w:rsidP="00174918">
      <w:pPr>
        <w:rPr>
          <w:b/>
          <w:bCs/>
        </w:rPr>
      </w:pPr>
      <w:r>
        <w:rPr>
          <w:b/>
          <w:bCs/>
        </w:rPr>
        <w:t xml:space="preserve">*40 h and e </w:t>
      </w:r>
    </w:p>
    <w:p w14:paraId="73315CB0" w14:textId="55E63F4D" w:rsidR="00174918" w:rsidRDefault="00174918" w:rsidP="00174918">
      <w:pPr>
        <w:rPr>
          <w:b/>
          <w:bCs/>
        </w:rPr>
      </w:pPr>
      <w:r>
        <w:rPr>
          <w:b/>
          <w:bCs/>
        </w:rPr>
        <w:t xml:space="preserve">Blood filled space with fibrous </w:t>
      </w:r>
      <w:proofErr w:type="spellStart"/>
      <w:r>
        <w:rPr>
          <w:b/>
          <w:bCs/>
        </w:rPr>
        <w:t>stroma</w:t>
      </w:r>
      <w:proofErr w:type="spellEnd"/>
      <w:r>
        <w:rPr>
          <w:b/>
          <w:bCs/>
        </w:rPr>
        <w:t xml:space="preserve"> containing </w:t>
      </w:r>
      <w:proofErr w:type="spellStart"/>
      <w:r>
        <w:rPr>
          <w:b/>
          <w:bCs/>
        </w:rPr>
        <w:t>hemosiderin</w:t>
      </w:r>
      <w:proofErr w:type="spellEnd"/>
      <w:r>
        <w:rPr>
          <w:b/>
          <w:bCs/>
        </w:rPr>
        <w:t xml:space="preserve"> laden macrophages </w:t>
      </w:r>
    </w:p>
    <w:p w14:paraId="08214E35" w14:textId="162E6E09" w:rsidR="00C64D2A" w:rsidRDefault="00C64D2A" w:rsidP="00C64D2A">
      <w:pPr>
        <w:rPr>
          <w:b/>
          <w:bCs/>
        </w:rPr>
      </w:pPr>
    </w:p>
    <w:p w14:paraId="0E40128F" w14:textId="1DC12F0E" w:rsidR="00443A12" w:rsidRDefault="00443A12" w:rsidP="00C64D2A">
      <w:pPr>
        <w:rPr>
          <w:b/>
          <w:bCs/>
        </w:rPr>
      </w:pPr>
    </w:p>
    <w:p w14:paraId="1736E542" w14:textId="67022687" w:rsidR="00443A12" w:rsidRDefault="00174918" w:rsidP="00C64D2A">
      <w:pPr>
        <w:rPr>
          <w:b/>
          <w:bCs/>
        </w:rPr>
      </w:pPr>
      <w:r>
        <w:rPr>
          <w:b/>
          <w:bCs/>
          <w:noProof/>
          <w:lang w:bidi="ar-SA"/>
        </w:rPr>
        <w:drawing>
          <wp:anchor distT="0" distB="0" distL="114300" distR="114300" simplePos="0" relativeHeight="251668480" behindDoc="1" locked="0" layoutInCell="1" allowOverlap="1" wp14:anchorId="588CE86D" wp14:editId="30BD8034">
            <wp:simplePos x="0" y="0"/>
            <wp:positionH relativeFrom="column">
              <wp:posOffset>0</wp:posOffset>
            </wp:positionH>
            <wp:positionV relativeFrom="paragraph">
              <wp:posOffset>328295</wp:posOffset>
            </wp:positionV>
            <wp:extent cx="3114675" cy="2333625"/>
            <wp:effectExtent l="19050" t="0" r="9525" b="0"/>
            <wp:wrapTight wrapText="bothSides">
              <wp:wrapPolygon edited="0">
                <wp:start x="-132" y="0"/>
                <wp:lineTo x="-132" y="21512"/>
                <wp:lineTo x="21666" y="21512"/>
                <wp:lineTo x="21666" y="0"/>
                <wp:lineTo x="-132" y="0"/>
              </wp:wrapPolygon>
            </wp:wrapTight>
            <wp:docPr id="3" name="תמונה 29" descr="C:\Users\maayan\Desktop\case report\תמונה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aayan\Desktop\case report\תמונה 3.jpg"/>
                    <pic:cNvPicPr>
                      <a:picLocks noChangeAspect="1" noChangeArrowheads="1"/>
                    </pic:cNvPicPr>
                  </pic:nvPicPr>
                  <pic:blipFill>
                    <a:blip r:embed="rId7" cstate="print"/>
                    <a:srcRect/>
                    <a:stretch>
                      <a:fillRect/>
                    </a:stretch>
                  </pic:blipFill>
                  <pic:spPr bwMode="auto">
                    <a:xfrm>
                      <a:off x="0" y="0"/>
                      <a:ext cx="3114675" cy="2333625"/>
                    </a:xfrm>
                    <a:prstGeom prst="rect">
                      <a:avLst/>
                    </a:prstGeom>
                    <a:noFill/>
                    <a:ln w="9525">
                      <a:noFill/>
                      <a:miter lim="800000"/>
                      <a:headEnd/>
                      <a:tailEnd/>
                    </a:ln>
                  </pic:spPr>
                </pic:pic>
              </a:graphicData>
            </a:graphic>
          </wp:anchor>
        </w:drawing>
      </w:r>
    </w:p>
    <w:p w14:paraId="6C4ED4A0" w14:textId="77777777" w:rsidR="00443A12" w:rsidRDefault="00443A12" w:rsidP="00C64D2A">
      <w:pPr>
        <w:rPr>
          <w:b/>
          <w:bCs/>
        </w:rPr>
      </w:pPr>
    </w:p>
    <w:p w14:paraId="00C1E95A" w14:textId="77777777" w:rsidR="00C64D2A" w:rsidRDefault="00C64D2A" w:rsidP="00C64D2A">
      <w:pPr>
        <w:rPr>
          <w:b/>
          <w:bCs/>
        </w:rPr>
      </w:pPr>
    </w:p>
    <w:p w14:paraId="2A21C79C" w14:textId="54C64E08" w:rsidR="00C64D2A" w:rsidRDefault="00C64D2A" w:rsidP="00C64D2A">
      <w:pPr>
        <w:rPr>
          <w:b/>
          <w:bCs/>
        </w:rPr>
      </w:pPr>
    </w:p>
    <w:p w14:paraId="56AC6897" w14:textId="2F3540F9" w:rsidR="009F220B" w:rsidRDefault="009F220B" w:rsidP="00C64D2A">
      <w:pPr>
        <w:rPr>
          <w:b/>
          <w:bCs/>
        </w:rPr>
      </w:pPr>
    </w:p>
    <w:p w14:paraId="1FBF5297" w14:textId="48E92F2B" w:rsidR="00605398" w:rsidRPr="00122613" w:rsidRDefault="00605398" w:rsidP="00336C77">
      <w:r>
        <w:rPr>
          <w:b/>
          <w:bCs/>
        </w:rPr>
        <w:t>(2)</w:t>
      </w:r>
      <w:r w:rsidR="005D7536">
        <w:rPr>
          <w:b/>
          <w:bCs/>
        </w:rPr>
        <w:t>(a</w:t>
      </w:r>
      <w:r w:rsidR="003C33E0">
        <w:rPr>
          <w:b/>
          <w:bCs/>
        </w:rPr>
        <w:t xml:space="preserve">H&amp;E </w:t>
      </w:r>
      <w:r w:rsidR="005D7536">
        <w:rPr>
          <w:b/>
          <w:bCs/>
        </w:rPr>
        <w:t xml:space="preserve">) </w:t>
      </w:r>
      <w:r>
        <w:rPr>
          <w:b/>
          <w:bCs/>
        </w:rPr>
        <w:t xml:space="preserve"> *100 , </w:t>
      </w:r>
      <w:r w:rsidRPr="00122613">
        <w:t xml:space="preserve">As seen in this hematoxylin and eosin staining, the lesion is located within vascular channels. It is composed of papillary structures, laminated </w:t>
      </w:r>
      <w:commentRangeStart w:id="1"/>
      <w:r w:rsidRPr="00122613">
        <w:t>with</w:t>
      </w:r>
      <w:commentRangeEnd w:id="1"/>
      <w:r>
        <w:rPr>
          <w:rStyle w:val="CommentReference"/>
        </w:rPr>
        <w:commentReference w:id="1"/>
      </w:r>
      <w:r w:rsidRPr="00122613">
        <w:t xml:space="preserve"> a single layer of endothelial cells. </w:t>
      </w:r>
    </w:p>
    <w:p w14:paraId="290A5B50" w14:textId="58C1D96F" w:rsidR="009F220B" w:rsidRDefault="009F220B" w:rsidP="00C64D2A">
      <w:pPr>
        <w:rPr>
          <w:b/>
          <w:bCs/>
        </w:rPr>
      </w:pPr>
    </w:p>
    <w:p w14:paraId="632D6469" w14:textId="2F414D7E" w:rsidR="009F220B" w:rsidRDefault="00443A12" w:rsidP="00C64D2A">
      <w:pPr>
        <w:rPr>
          <w:b/>
          <w:bCs/>
        </w:rPr>
      </w:pPr>
      <w:r>
        <w:rPr>
          <w:b/>
          <w:bCs/>
          <w:noProof/>
          <w:lang w:bidi="ar-SA"/>
        </w:rPr>
        <w:lastRenderedPageBreak/>
        <w:drawing>
          <wp:anchor distT="0" distB="0" distL="114300" distR="114300" simplePos="0" relativeHeight="251664384" behindDoc="1" locked="0" layoutInCell="1" allowOverlap="1" wp14:anchorId="77469A03" wp14:editId="6A8F4A9E">
            <wp:simplePos x="0" y="0"/>
            <wp:positionH relativeFrom="column">
              <wp:posOffset>0</wp:posOffset>
            </wp:positionH>
            <wp:positionV relativeFrom="paragraph">
              <wp:posOffset>310515</wp:posOffset>
            </wp:positionV>
            <wp:extent cx="3124200" cy="2343150"/>
            <wp:effectExtent l="19050" t="0" r="0" b="0"/>
            <wp:wrapTight wrapText="bothSides">
              <wp:wrapPolygon edited="0">
                <wp:start x="-132" y="0"/>
                <wp:lineTo x="-132" y="21424"/>
                <wp:lineTo x="21600" y="21424"/>
                <wp:lineTo x="21600" y="0"/>
                <wp:lineTo x="-132" y="0"/>
              </wp:wrapPolygon>
            </wp:wrapTight>
            <wp:docPr id="28" name="תמונה 28" descr="C:\Users\maayan\Desktop\case report\תמונה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ayan\Desktop\case report\תמונה 2.jpg"/>
                    <pic:cNvPicPr>
                      <a:picLocks noChangeAspect="1" noChangeArrowheads="1"/>
                    </pic:cNvPicPr>
                  </pic:nvPicPr>
                  <pic:blipFill>
                    <a:blip r:embed="rId11" cstate="print"/>
                    <a:srcRect/>
                    <a:stretch>
                      <a:fillRect/>
                    </a:stretch>
                  </pic:blipFill>
                  <pic:spPr bwMode="auto">
                    <a:xfrm>
                      <a:off x="0" y="0"/>
                      <a:ext cx="3124200" cy="2343150"/>
                    </a:xfrm>
                    <a:prstGeom prst="rect">
                      <a:avLst/>
                    </a:prstGeom>
                    <a:noFill/>
                    <a:ln w="9525">
                      <a:noFill/>
                      <a:miter lim="800000"/>
                      <a:headEnd/>
                      <a:tailEnd/>
                    </a:ln>
                  </pic:spPr>
                </pic:pic>
              </a:graphicData>
            </a:graphic>
          </wp:anchor>
        </w:drawing>
      </w:r>
    </w:p>
    <w:p w14:paraId="6CF38210" w14:textId="77777777" w:rsidR="00C64D2A" w:rsidRDefault="00C64D2A" w:rsidP="00C64D2A">
      <w:pPr>
        <w:rPr>
          <w:b/>
          <w:bCs/>
        </w:rPr>
      </w:pPr>
    </w:p>
    <w:p w14:paraId="54D195B6" w14:textId="77777777" w:rsidR="00C64D2A" w:rsidRDefault="00C64D2A" w:rsidP="00C64D2A">
      <w:pPr>
        <w:rPr>
          <w:b/>
          <w:bCs/>
        </w:rPr>
      </w:pPr>
    </w:p>
    <w:p w14:paraId="6DB9B3FB" w14:textId="12AE7844" w:rsidR="00C64D2A" w:rsidRDefault="00EA37D8" w:rsidP="00C64D2A">
      <w:pPr>
        <w:rPr>
          <w:b/>
          <w:bCs/>
        </w:rPr>
      </w:pPr>
      <w:r>
        <w:rPr>
          <w:b/>
          <w:bCs/>
        </w:rPr>
        <w:t>(3) *100</w:t>
      </w:r>
      <w:r w:rsidR="003C33E0">
        <w:rPr>
          <w:b/>
          <w:bCs/>
        </w:rPr>
        <w:t xml:space="preserve"> H&amp;E </w:t>
      </w:r>
      <w:r>
        <w:rPr>
          <w:b/>
          <w:bCs/>
        </w:rPr>
        <w:t>dilated blood filled spaces within vascular lumen</w:t>
      </w:r>
    </w:p>
    <w:p w14:paraId="4F9B8E87" w14:textId="15610C3C" w:rsidR="00174918" w:rsidRDefault="00174918" w:rsidP="00C64D2A">
      <w:pPr>
        <w:rPr>
          <w:b/>
          <w:bCs/>
        </w:rPr>
      </w:pPr>
    </w:p>
    <w:p w14:paraId="471F1A89" w14:textId="0F49D137" w:rsidR="00174918" w:rsidRDefault="00174918" w:rsidP="00C64D2A">
      <w:pPr>
        <w:rPr>
          <w:b/>
          <w:bCs/>
        </w:rPr>
      </w:pPr>
    </w:p>
    <w:p w14:paraId="1DEBDD7C" w14:textId="0809B8A3" w:rsidR="00174918" w:rsidRDefault="00174918" w:rsidP="00C64D2A">
      <w:pPr>
        <w:rPr>
          <w:b/>
          <w:bCs/>
        </w:rPr>
      </w:pPr>
    </w:p>
    <w:p w14:paraId="423E8F3F" w14:textId="41C1AD34" w:rsidR="00174918" w:rsidRDefault="00174918" w:rsidP="00C64D2A">
      <w:pPr>
        <w:rPr>
          <w:b/>
          <w:bCs/>
        </w:rPr>
      </w:pPr>
      <w:r>
        <w:rPr>
          <w:b/>
          <w:bCs/>
          <w:noProof/>
          <w:lang w:bidi="ar-SA"/>
        </w:rPr>
        <w:drawing>
          <wp:anchor distT="0" distB="0" distL="114300" distR="114300" simplePos="0" relativeHeight="251666432" behindDoc="1" locked="0" layoutInCell="1" allowOverlap="1" wp14:anchorId="3E1E8A18" wp14:editId="34A48B45">
            <wp:simplePos x="0" y="0"/>
            <wp:positionH relativeFrom="column">
              <wp:posOffset>0</wp:posOffset>
            </wp:positionH>
            <wp:positionV relativeFrom="paragraph">
              <wp:posOffset>328930</wp:posOffset>
            </wp:positionV>
            <wp:extent cx="3114675" cy="2335530"/>
            <wp:effectExtent l="19050" t="0" r="9525" b="0"/>
            <wp:wrapTight wrapText="bothSides">
              <wp:wrapPolygon edited="0">
                <wp:start x="-132" y="0"/>
                <wp:lineTo x="-132" y="21494"/>
                <wp:lineTo x="21666" y="21494"/>
                <wp:lineTo x="21666" y="0"/>
                <wp:lineTo x="-132" y="0"/>
              </wp:wrapPolygon>
            </wp:wrapTight>
            <wp:docPr id="26" name="תמונה 26" descr="C:\Users\maayan\Desktop\case report\תמונה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ayan\Desktop\case report\תמונה 4.jpg"/>
                    <pic:cNvPicPr>
                      <a:picLocks noChangeAspect="1" noChangeArrowheads="1"/>
                    </pic:cNvPicPr>
                  </pic:nvPicPr>
                  <pic:blipFill>
                    <a:blip r:embed="rId12" cstate="print"/>
                    <a:srcRect/>
                    <a:stretch>
                      <a:fillRect/>
                    </a:stretch>
                  </pic:blipFill>
                  <pic:spPr bwMode="auto">
                    <a:xfrm>
                      <a:off x="0" y="0"/>
                      <a:ext cx="3114675" cy="2335530"/>
                    </a:xfrm>
                    <a:prstGeom prst="rect">
                      <a:avLst/>
                    </a:prstGeom>
                    <a:noFill/>
                    <a:ln w="9525">
                      <a:noFill/>
                      <a:miter lim="800000"/>
                      <a:headEnd/>
                      <a:tailEnd/>
                    </a:ln>
                  </pic:spPr>
                </pic:pic>
              </a:graphicData>
            </a:graphic>
          </wp:anchor>
        </w:drawing>
      </w:r>
    </w:p>
    <w:p w14:paraId="224E3882" w14:textId="77777777" w:rsidR="00174918" w:rsidRDefault="00174918" w:rsidP="00C64D2A">
      <w:pPr>
        <w:rPr>
          <w:b/>
          <w:bCs/>
        </w:rPr>
      </w:pPr>
    </w:p>
    <w:p w14:paraId="342670C9" w14:textId="3D523AAF" w:rsidR="00174918" w:rsidRDefault="003C33E0" w:rsidP="00C64D2A">
      <w:pPr>
        <w:rPr>
          <w:b/>
          <w:bCs/>
        </w:rPr>
      </w:pPr>
      <w:r>
        <w:rPr>
          <w:b/>
          <w:bCs/>
        </w:rPr>
        <w:t>(2)(b) H&amp;E *</w:t>
      </w:r>
      <w:r w:rsidR="00C862EF">
        <w:rPr>
          <w:b/>
          <w:bCs/>
        </w:rPr>
        <w:t>200 blood filled spaces with papillary</w:t>
      </w:r>
      <w:r w:rsidR="002216A7">
        <w:rPr>
          <w:b/>
          <w:bCs/>
        </w:rPr>
        <w:t xml:space="preserve"> fronds  proliferating into lumen</w:t>
      </w:r>
    </w:p>
    <w:p w14:paraId="083A9CBF" w14:textId="2DDA8B80" w:rsidR="00C64D2A" w:rsidRDefault="00C64D2A" w:rsidP="00C64D2A">
      <w:pPr>
        <w:rPr>
          <w:b/>
          <w:bCs/>
        </w:rPr>
      </w:pPr>
      <w:r w:rsidRPr="00391F7C">
        <w:rPr>
          <w:b/>
          <w:bCs/>
        </w:rPr>
        <w:t xml:space="preserve">Discussion: </w:t>
      </w:r>
    </w:p>
    <w:p w14:paraId="4B9C08E7" w14:textId="77777777" w:rsidR="00C64D2A" w:rsidRDefault="00C64D2A" w:rsidP="00C64D2A">
      <w:r w:rsidRPr="00590681">
        <w:t xml:space="preserve">IPEH was </w:t>
      </w:r>
      <w:r>
        <w:t xml:space="preserve">first described in 1923 as a neoplasm. However, 9 years later it was defined by </w:t>
      </w:r>
      <w:proofErr w:type="spellStart"/>
      <w:r>
        <w:t>Henschen</w:t>
      </w:r>
      <w:proofErr w:type="spellEnd"/>
      <w:r>
        <w:t xml:space="preserve"> to be more of a reactive causing proliferation process, rather than a neoplasm. It was not until 1976 when the definition of the tumor as an </w:t>
      </w:r>
      <w:proofErr w:type="spellStart"/>
      <w:r>
        <w:t>intervascular</w:t>
      </w:r>
      <w:proofErr w:type="spellEnd"/>
      <w:r>
        <w:t xml:space="preserve"> papillary endothelial hyperplasia gained wide acceptance [5].</w:t>
      </w:r>
    </w:p>
    <w:p w14:paraId="3C0E64A1" w14:textId="77777777" w:rsidR="00C64D2A" w:rsidRDefault="00C64D2A" w:rsidP="00C64D2A">
      <w:pPr>
        <w:contextualSpacing/>
      </w:pPr>
    </w:p>
    <w:p w14:paraId="0F373EBF" w14:textId="77777777" w:rsidR="00C64D2A" w:rsidRDefault="00C64D2A" w:rsidP="00C64D2A">
      <w:pPr>
        <w:contextualSpacing/>
      </w:pPr>
    </w:p>
    <w:p w14:paraId="556ED916" w14:textId="77777777" w:rsidR="00C64D2A" w:rsidRDefault="00C64D2A" w:rsidP="00C64D2A">
      <w:pPr>
        <w:contextualSpacing/>
      </w:pPr>
      <w:r>
        <w:t xml:space="preserve">Masson’s tumor is a benign tumor. It does not send metastases, nor does it infiltrate to the tissues in which it develops. It can, however, proliferate in the vascular lumen and rapture the vessel walls, similar to a malignant tumor, thus causing confusion with other clinical entities such as invasive </w:t>
      </w:r>
      <w:proofErr w:type="spellStart"/>
      <w:r>
        <w:t>angiosarcoma</w:t>
      </w:r>
      <w:proofErr w:type="spellEnd"/>
      <w:r>
        <w:t xml:space="preserve"> [10].  Other characteristics that help to differentiate Masson’s tumor from a malignant lesion are the absence of necrosis, cellular pleomorphism, and mitotic activity. Exceptionally, there may be minimal necrosis in cases where the lesion outgrows its blood supply [10,15]. </w:t>
      </w:r>
    </w:p>
    <w:p w14:paraId="188B0792" w14:textId="77777777" w:rsidR="00C64D2A" w:rsidRDefault="00C64D2A" w:rsidP="00C64D2A">
      <w:pPr>
        <w:contextualSpacing/>
      </w:pPr>
    </w:p>
    <w:p w14:paraId="28AE3911" w14:textId="77777777" w:rsidR="00C64D2A" w:rsidRPr="00834681" w:rsidRDefault="00C64D2A" w:rsidP="00C64D2A">
      <w:pPr>
        <w:contextualSpacing/>
      </w:pPr>
      <w:r w:rsidRPr="00834681">
        <w:t>Radiologic findings for IPEH are limited and mostly non</w:t>
      </w:r>
      <w:r>
        <w:t>-</w:t>
      </w:r>
      <w:r w:rsidRPr="00834681">
        <w:t>specific. Computed tomography, magnetic resonance imaging, and angiographic patterns of IPEH can mimic other benign and malignant processes</w:t>
      </w:r>
      <w:r>
        <w:t>,</w:t>
      </w:r>
      <w:r w:rsidRPr="00834681">
        <w:t xml:space="preserve"> such as</w:t>
      </w:r>
      <w:r>
        <w:t>:</w:t>
      </w:r>
      <w:r w:rsidRPr="00834681">
        <w:t xml:space="preserve"> pyogenic granuloma, </w:t>
      </w:r>
      <w:proofErr w:type="spellStart"/>
      <w:r w:rsidRPr="00834681">
        <w:t>Kaposi's</w:t>
      </w:r>
      <w:proofErr w:type="spellEnd"/>
      <w:r w:rsidRPr="00834681">
        <w:t xml:space="preserve"> sarcoma, hemangioma, bacillary </w:t>
      </w:r>
      <w:proofErr w:type="spellStart"/>
      <w:r w:rsidRPr="00834681">
        <w:t>angiomatosis</w:t>
      </w:r>
      <w:proofErr w:type="spellEnd"/>
      <w:r w:rsidRPr="00834681">
        <w:t xml:space="preserve">, and </w:t>
      </w:r>
      <w:proofErr w:type="spellStart"/>
      <w:r w:rsidRPr="00834681">
        <w:t>papularangioplasia</w:t>
      </w:r>
      <w:proofErr w:type="spellEnd"/>
      <w:r>
        <w:t xml:space="preserve"> [5]</w:t>
      </w:r>
      <w:r w:rsidRPr="00834681">
        <w:t xml:space="preserve">. </w:t>
      </w:r>
      <w:r>
        <w:t>Utilizing</w:t>
      </w:r>
      <w:r w:rsidRPr="00834681">
        <w:t xml:space="preserve"> sonographic imaging</w:t>
      </w:r>
      <w:r>
        <w:t>,</w:t>
      </w:r>
      <w:r w:rsidRPr="00834681">
        <w:t xml:space="preserve"> IPEH usually appears uniform</w:t>
      </w:r>
      <w:r>
        <w:t xml:space="preserve"> </w:t>
      </w:r>
      <w:r w:rsidRPr="000B56CE">
        <w:t xml:space="preserve">in </w:t>
      </w:r>
      <w:proofErr w:type="spellStart"/>
      <w:r w:rsidRPr="000B56CE">
        <w:t>echogenicity</w:t>
      </w:r>
      <w:proofErr w:type="spellEnd"/>
      <w:r w:rsidRPr="000B56CE">
        <w:t xml:space="preserve">. </w:t>
      </w:r>
      <w:r w:rsidRPr="000B56CE">
        <w:lastRenderedPageBreak/>
        <w:t xml:space="preserve">Doppler sonography is helpful since demonstrating blood flow can confirm the intravascular location of the mass [20]. </w:t>
      </w:r>
    </w:p>
    <w:p w14:paraId="3ED01086" w14:textId="77777777" w:rsidR="00C64D2A" w:rsidRDefault="00C64D2A" w:rsidP="00C64D2A">
      <w:pPr>
        <w:contextualSpacing/>
      </w:pPr>
      <w:r w:rsidRPr="00126372">
        <w:t>The resected</w:t>
      </w:r>
      <w:r>
        <w:t xml:space="preserve"> </w:t>
      </w:r>
      <w:r w:rsidRPr="00126372">
        <w:t xml:space="preserve">lesion in our case was composed of papillary structures, laminated with a single layer of endothelial cells. Microscopic features of IPEH vary. It may consists of numerous papillae with a core of connective tissue and an endothelial surface. The lesion is usually well defined by a fibrous pseudo-capsule which contains smooth muscle tissue derived from the blood vessel wall. In rare cases of IPEH, a compromised pseudo-capsule could be detected in the extra-vascular </w:t>
      </w:r>
      <w:r>
        <w:t>space</w:t>
      </w:r>
      <w:r w:rsidRPr="00126372">
        <w:t xml:space="preserve"> [10]. This encapsulation serves as a very important differentiating factor from the common </w:t>
      </w:r>
      <w:proofErr w:type="spellStart"/>
      <w:r w:rsidRPr="00126372">
        <w:t>angiosarcoma</w:t>
      </w:r>
      <w:proofErr w:type="spellEnd"/>
      <w:r w:rsidRPr="00126372">
        <w:t>. Blood clots could be noticed within the lesion. The lesion may or may not exhibit small calcifications 17].</w:t>
      </w:r>
    </w:p>
    <w:p w14:paraId="4F16CC3B" w14:textId="77777777" w:rsidR="00C64D2A" w:rsidRDefault="00C64D2A" w:rsidP="00C64D2A">
      <w:pPr>
        <w:contextualSpacing/>
      </w:pPr>
      <w:r>
        <w:t xml:space="preserve">In the current case, a positive staining of CD31 and CD34 was observed. Those antigens are widely expressed on the cell surface of endothelial cells. Therefore utilizing immune-histochemical staining in order to characterize IPEH is most common .However, CD34 is also expressed on human hematopoietic cells and is thought to modulate adhesion in these cells, while CD31 is a glycoprotein expressed also by platelets, monocytes, granulocytes, B-cells, leukocytes, and endothelial cells [15]. </w:t>
      </w:r>
    </w:p>
    <w:p w14:paraId="38A5CE53" w14:textId="77777777" w:rsidR="00C64D2A" w:rsidRDefault="00C64D2A" w:rsidP="00C64D2A">
      <w:pPr>
        <w:contextualSpacing/>
      </w:pPr>
    </w:p>
    <w:p w14:paraId="4BE9064A" w14:textId="77777777" w:rsidR="00C64D2A" w:rsidRPr="00D57118" w:rsidRDefault="00C64D2A" w:rsidP="00C64D2A">
      <w:pPr>
        <w:contextualSpacing/>
      </w:pPr>
      <w:r>
        <w:t xml:space="preserve">It has been suggested that Factor VIII-related antigen (FVIII), which is synthesized by endothelial cells serving as an accurate marker for their differentiation and is not expressed in spindle shaped tumor cells of endothelial origin, could be used as  a strong evidence of IPEH. However, FVII it can only be detected in mature lesions [15]. Other antigens which were </w:t>
      </w:r>
      <w:r w:rsidRPr="00126372">
        <w:t>identified</w:t>
      </w:r>
      <w:r>
        <w:t xml:space="preserve"> by immune-histochemical staining in IPEH are </w:t>
      </w:r>
      <w:proofErr w:type="spellStart"/>
      <w:r>
        <w:t>Vimentin</w:t>
      </w:r>
      <w:proofErr w:type="spellEnd"/>
      <w:r>
        <w:t xml:space="preserve"> which has been reported to be positive in the </w:t>
      </w:r>
      <w:proofErr w:type="spellStart"/>
      <w:r>
        <w:t>stroma</w:t>
      </w:r>
      <w:proofErr w:type="spellEnd"/>
      <w:r>
        <w:t xml:space="preserve"> of Masson’s </w:t>
      </w:r>
      <w:proofErr w:type="spellStart"/>
      <w:r>
        <w:t>tumors,</w:t>
      </w:r>
      <w:r w:rsidRPr="00D57118">
        <w:t>and</w:t>
      </w:r>
      <w:proofErr w:type="spellEnd"/>
      <w:r w:rsidRPr="00D57118">
        <w:t xml:space="preserve"> </w:t>
      </w:r>
      <w:r>
        <w:t xml:space="preserve">the </w:t>
      </w:r>
      <w:r w:rsidRPr="00D57118">
        <w:t xml:space="preserve">proliferation marker Ki-67 </w:t>
      </w:r>
      <w:r>
        <w:t>which was found to be</w:t>
      </w:r>
      <w:r w:rsidRPr="00D57118">
        <w:t xml:space="preserve"> weakly </w:t>
      </w:r>
      <w:r>
        <w:t>expressed</w:t>
      </w:r>
      <w:r>
        <w:rPr>
          <w:rFonts w:hint="cs"/>
          <w:rtl/>
        </w:rPr>
        <w:t>)</w:t>
      </w:r>
      <w:r>
        <w:t>≤10%))</w:t>
      </w:r>
      <w:r w:rsidRPr="00D57118">
        <w:t>never over 10%[</w:t>
      </w:r>
      <w:r>
        <w:t>15-16</w:t>
      </w:r>
      <w:r w:rsidRPr="00D57118">
        <w:t>].</w:t>
      </w:r>
    </w:p>
    <w:p w14:paraId="45A3314E" w14:textId="77777777" w:rsidR="00C64D2A" w:rsidRDefault="00C64D2A" w:rsidP="00C64D2A">
      <w:pPr>
        <w:contextualSpacing/>
      </w:pPr>
    </w:p>
    <w:p w14:paraId="20A750CF" w14:textId="77777777" w:rsidR="00C64D2A" w:rsidRDefault="00C64D2A" w:rsidP="00C64D2A">
      <w:pPr>
        <w:contextualSpacing/>
      </w:pPr>
    </w:p>
    <w:p w14:paraId="4DD3D603" w14:textId="77777777" w:rsidR="00C64D2A" w:rsidRDefault="00C64D2A" w:rsidP="00C64D2A">
      <w:pPr>
        <w:contextualSpacing/>
      </w:pPr>
    </w:p>
    <w:p w14:paraId="52C60F80" w14:textId="77777777" w:rsidR="00C64D2A" w:rsidRDefault="00C64D2A" w:rsidP="00C64D2A">
      <w:r>
        <w:t xml:space="preserve">Demographically, IPAH was found to be slightly more common in women and prevalent in patients of a wide age range.  A review of literature published by </w:t>
      </w:r>
      <w:r w:rsidRPr="001D76F6">
        <w:t>Constantinou et al.</w:t>
      </w:r>
      <w:r>
        <w:t>(2008)examined specific characteristics of all reported cases of IPEH in the adrenal gland [13]. According to their review, the mean age of patients with adrenal IPEH was 64 years, most of them women. Average lesion size was 5.75 cm. Primary form of the lesion was reported in 5 of the 8 published cases, one was a rare extravascular form, while none were of secondary form. Recurrence rates in various skin cases have been documented in a range of 7-10% and can appear for the mixed and extravascular varieties[5].</w:t>
      </w:r>
    </w:p>
    <w:p w14:paraId="134D763F" w14:textId="77777777" w:rsidR="00C64D2A" w:rsidRDefault="00C64D2A" w:rsidP="00C64D2A">
      <w:pPr>
        <w:contextualSpacing/>
      </w:pPr>
      <w:r>
        <w:t xml:space="preserve">Being a benign hyperplasia, these tumors are mostly asymptomatic. However, since they are located within blood vessels and can proliferate to create substantial mass, they can cause bleeding or obstruction. Among reported symptomatic Masson’s tumors are cases of IPEH in the urinary system which caused macroscopic hematuria and intermittent abdominal pain [18], IPEH located in the ligament of </w:t>
      </w:r>
      <w:proofErr w:type="spellStart"/>
      <w:r>
        <w:t>Treitz</w:t>
      </w:r>
      <w:proofErr w:type="spellEnd"/>
      <w:r>
        <w:t xml:space="preserve"> which caused GI bleeding and anemia [5], IPEH in the superior vena cava (SVC) which caused SVC syndrome an [19], a lesion on the vocal cord which caused  hoarseness [16] and IPEH in the adrenal gland which was reported to cause back pain and gross hematuria [13].</w:t>
      </w:r>
    </w:p>
    <w:p w14:paraId="1DBE1313" w14:textId="77777777" w:rsidR="00C64D2A" w:rsidRDefault="00C64D2A" w:rsidP="00C64D2A">
      <w:pPr>
        <w:contextualSpacing/>
      </w:pPr>
    </w:p>
    <w:p w14:paraId="1FEE7E9F" w14:textId="77777777" w:rsidR="00C64D2A" w:rsidRDefault="00C64D2A" w:rsidP="00C64D2A">
      <w:pPr>
        <w:contextualSpacing/>
      </w:pPr>
      <w:r>
        <w:lastRenderedPageBreak/>
        <w:t xml:space="preserve">Another finding reported in 60% of the patients is weight loss that is attributed to intermittent pain, mechanical obstruction of the GI tract or pharyngeal tumors, </w:t>
      </w:r>
      <w:proofErr w:type="spellStart"/>
      <w:r>
        <w:t>malabsorbtion</w:t>
      </w:r>
      <w:proofErr w:type="spellEnd"/>
      <w:r>
        <w:t xml:space="preserve"> in GI tumors and production of endothelial factors promoting satiety [6]. </w:t>
      </w:r>
    </w:p>
    <w:p w14:paraId="1B7C4E84" w14:textId="77777777" w:rsidR="00C64D2A" w:rsidRDefault="00C64D2A" w:rsidP="00C64D2A">
      <w:pPr>
        <w:contextualSpacing/>
      </w:pPr>
    </w:p>
    <w:p w14:paraId="0ADCCCA3" w14:textId="77777777" w:rsidR="00C64D2A" w:rsidRPr="002922F7" w:rsidRDefault="00C64D2A" w:rsidP="00C64D2A">
      <w:pPr>
        <w:contextualSpacing/>
        <w:rPr>
          <w:highlight w:val="yellow"/>
          <w:rtl/>
        </w:rPr>
      </w:pPr>
    </w:p>
    <w:p w14:paraId="53A342E9" w14:textId="77777777" w:rsidR="00C64D2A" w:rsidRDefault="00C64D2A" w:rsidP="00C64D2A">
      <w:pPr>
        <w:contextualSpacing/>
      </w:pPr>
    </w:p>
    <w:p w14:paraId="394AB93D" w14:textId="77777777" w:rsidR="00C64D2A" w:rsidRDefault="00C64D2A" w:rsidP="00C64D2A">
      <w:pPr>
        <w:contextualSpacing/>
      </w:pPr>
    </w:p>
    <w:p w14:paraId="02B135C7" w14:textId="77777777" w:rsidR="00C64D2A" w:rsidRPr="00243256" w:rsidRDefault="00C64D2A" w:rsidP="00C64D2A">
      <w:pPr>
        <w:contextualSpacing/>
        <w:rPr>
          <w:b/>
          <w:bCs/>
        </w:rPr>
      </w:pPr>
      <w:r w:rsidRPr="00243256">
        <w:rPr>
          <w:b/>
          <w:bCs/>
        </w:rPr>
        <w:t>Conclusion:</w:t>
      </w:r>
    </w:p>
    <w:p w14:paraId="6368B3E3" w14:textId="77777777" w:rsidR="00C64D2A" w:rsidRDefault="00C64D2A" w:rsidP="00C64D2A">
      <w:pPr>
        <w:contextualSpacing/>
      </w:pPr>
    </w:p>
    <w:p w14:paraId="42C9E5D5" w14:textId="77777777" w:rsidR="00C64D2A" w:rsidRDefault="00C64D2A" w:rsidP="00C64D2A">
      <w:pPr>
        <w:contextualSpacing/>
      </w:pPr>
      <w:r>
        <w:t>IPEH is a rare vascular proliferative process that usually involves the head, neck and extremities, while visceral involvement is very rare. Adrenal IPEH is an entity described in 8 previous case studies. Our report of adrenal IPEH shares the common characteristics described in these previous reports: our patient was a woman,  58years of age, with a 5 cm lesion as was demonstrated in a CT scan. After total excision of the adrenal gland the pathology report showed that the lesion was in fact an IPEH of pure form, and immunochemical staining for CD31 and CD34 was</w:t>
      </w:r>
      <w:r w:rsidR="00D053F8">
        <w:t xml:space="preserve"> </w:t>
      </w:r>
      <w:r>
        <w:t>positive.</w:t>
      </w:r>
    </w:p>
    <w:p w14:paraId="5682E91B" w14:textId="77777777" w:rsidR="00C64D2A" w:rsidRDefault="00C64D2A" w:rsidP="00C64D2A">
      <w:pPr>
        <w:contextualSpacing/>
      </w:pPr>
      <w:r>
        <w:t>Our review of literature demonstrates the similarity of Masson’s tumor to both benign and malignant tumors, specifically</w:t>
      </w:r>
      <w:r w:rsidR="00D053F8">
        <w:t xml:space="preserve"> </w:t>
      </w:r>
      <w:proofErr w:type="spellStart"/>
      <w:r>
        <w:t>angiosarcoma</w:t>
      </w:r>
      <w:proofErr w:type="spellEnd"/>
      <w:r>
        <w:t xml:space="preserve">, and presents several differentiating factors, whether </w:t>
      </w:r>
      <w:r w:rsidR="00D053F8">
        <w:t>immune-</w:t>
      </w:r>
      <w:r>
        <w:t>histochemical, radiologic or histologic.</w:t>
      </w:r>
    </w:p>
    <w:p w14:paraId="77358AA5" w14:textId="77777777" w:rsidR="00C64D2A" w:rsidRDefault="00C64D2A" w:rsidP="00C64D2A">
      <w:pPr>
        <w:contextualSpacing/>
      </w:pPr>
    </w:p>
    <w:p w14:paraId="5C14D3FA" w14:textId="77777777" w:rsidR="00C64D2A" w:rsidRDefault="00C64D2A" w:rsidP="00C64D2A">
      <w:pPr>
        <w:contextualSpacing/>
      </w:pPr>
    </w:p>
    <w:p w14:paraId="2614F75D" w14:textId="77777777" w:rsidR="00C64D2A" w:rsidRDefault="00C64D2A" w:rsidP="00C64D2A">
      <w:pPr>
        <w:contextualSpacing/>
      </w:pPr>
    </w:p>
    <w:p w14:paraId="0D626096" w14:textId="77777777" w:rsidR="00C64D2A" w:rsidRDefault="00C64D2A" w:rsidP="00C64D2A">
      <w:pPr>
        <w:contextualSpacing/>
      </w:pPr>
    </w:p>
    <w:p w14:paraId="12201E01" w14:textId="77777777" w:rsidR="00C64D2A" w:rsidRDefault="00C64D2A" w:rsidP="00C64D2A">
      <w:pPr>
        <w:contextualSpacing/>
      </w:pPr>
    </w:p>
    <w:p w14:paraId="752BD916" w14:textId="77777777" w:rsidR="00C64D2A" w:rsidRDefault="00C64D2A" w:rsidP="00C64D2A">
      <w:pPr>
        <w:contextualSpacing/>
      </w:pPr>
    </w:p>
    <w:p w14:paraId="2E342132" w14:textId="77777777" w:rsidR="00C64D2A" w:rsidRDefault="00C64D2A" w:rsidP="00C64D2A">
      <w:pPr>
        <w:contextualSpacing/>
      </w:pPr>
    </w:p>
    <w:p w14:paraId="20EA4CEA" w14:textId="77777777" w:rsidR="00C64D2A" w:rsidRPr="00391F7C" w:rsidRDefault="00C64D2A" w:rsidP="00C64D2A">
      <w:pPr>
        <w:rPr>
          <w:b/>
          <w:bCs/>
        </w:rPr>
      </w:pPr>
      <w:r w:rsidRPr="00391F7C">
        <w:rPr>
          <w:b/>
          <w:bCs/>
        </w:rPr>
        <w:t>Bibliography:</w:t>
      </w:r>
    </w:p>
    <w:p w14:paraId="57956700" w14:textId="77777777" w:rsidR="00C64D2A" w:rsidRPr="00CC5FBF" w:rsidRDefault="00C64D2A" w:rsidP="00C64D2A">
      <w:pPr>
        <w:rPr>
          <w:rFonts w:cs="Arial"/>
        </w:rPr>
      </w:pPr>
      <w:r w:rsidRPr="00CC5FBF">
        <w:t xml:space="preserve">1. </w:t>
      </w:r>
      <w:proofErr w:type="spellStart"/>
      <w:r w:rsidRPr="00CC5FBF">
        <w:rPr>
          <w:rFonts w:cs="Arial"/>
        </w:rPr>
        <w:t>Mahapatra</w:t>
      </w:r>
      <w:proofErr w:type="spellEnd"/>
      <w:r w:rsidRPr="00CC5FBF">
        <w:rPr>
          <w:rFonts w:cs="Arial"/>
        </w:rPr>
        <w:t xml:space="preserve"> QS, </w:t>
      </w:r>
      <w:proofErr w:type="spellStart"/>
      <w:r w:rsidRPr="00CC5FBF">
        <w:rPr>
          <w:rFonts w:cs="Arial"/>
        </w:rPr>
        <w:t>Sahai</w:t>
      </w:r>
      <w:proofErr w:type="spellEnd"/>
      <w:r w:rsidRPr="00CC5FBF">
        <w:rPr>
          <w:rFonts w:cs="Arial"/>
        </w:rPr>
        <w:t xml:space="preserve"> K, Malik A, Mani NS.</w:t>
      </w:r>
      <w:hyperlink r:id="rId13" w:history="1">
        <w:r w:rsidRPr="00CC5FBF">
          <w:rPr>
            <w:rFonts w:cs="Arial"/>
          </w:rPr>
          <w:t>Intravascular papillary endothelial hyperplasia: An unusual histopathological entity</w:t>
        </w:r>
        <w:r w:rsidRPr="00CC5FBF">
          <w:rPr>
            <w:rFonts w:cs="Arial"/>
            <w:color w:val="14376C"/>
            <w:u w:val="single"/>
          </w:rPr>
          <w:t>.</w:t>
        </w:r>
      </w:hyperlink>
      <w:r w:rsidRPr="00CC5FBF">
        <w:rPr>
          <w:rFonts w:cs="Arial"/>
          <w:i/>
          <w:iCs/>
        </w:rPr>
        <w:t xml:space="preserve">Indian </w:t>
      </w:r>
      <w:proofErr w:type="spellStart"/>
      <w:r w:rsidRPr="00CC5FBF">
        <w:rPr>
          <w:rFonts w:cs="Arial"/>
          <w:i/>
          <w:iCs/>
        </w:rPr>
        <w:t>Dermatol</w:t>
      </w:r>
      <w:proofErr w:type="spellEnd"/>
      <w:r w:rsidRPr="00CC5FBF">
        <w:rPr>
          <w:rFonts w:cs="Arial"/>
          <w:i/>
          <w:iCs/>
        </w:rPr>
        <w:t xml:space="preserve"> Online J</w:t>
      </w:r>
      <w:r w:rsidRPr="00CC5FBF">
        <w:rPr>
          <w:rFonts w:cs="Arial"/>
        </w:rPr>
        <w:t xml:space="preserve">. 2015 Jul-Aug ;6(4):277-9. </w:t>
      </w:r>
    </w:p>
    <w:p w14:paraId="199D5B78" w14:textId="77777777" w:rsidR="00C64D2A" w:rsidRPr="00CC5FBF" w:rsidRDefault="00C64D2A" w:rsidP="00C64D2A">
      <w:pPr>
        <w:rPr>
          <w:rStyle w:val="element-citation"/>
        </w:rPr>
      </w:pPr>
      <w:r w:rsidRPr="00CC5FBF">
        <w:t xml:space="preserve">2. </w:t>
      </w:r>
      <w:proofErr w:type="spellStart"/>
      <w:r w:rsidRPr="00CC5FBF">
        <w:rPr>
          <w:rStyle w:val="element-citation"/>
        </w:rPr>
        <w:t>Fasina</w:t>
      </w:r>
      <w:proofErr w:type="spellEnd"/>
      <w:r w:rsidRPr="00CC5FBF">
        <w:rPr>
          <w:rStyle w:val="element-citation"/>
        </w:rPr>
        <w:t xml:space="preserve"> O, </w:t>
      </w:r>
      <w:proofErr w:type="spellStart"/>
      <w:r w:rsidRPr="00CC5FBF">
        <w:rPr>
          <w:rStyle w:val="element-citation"/>
        </w:rPr>
        <w:t>Adeoye</w:t>
      </w:r>
      <w:proofErr w:type="spellEnd"/>
      <w:r w:rsidRPr="00CC5FBF">
        <w:rPr>
          <w:rStyle w:val="element-citation"/>
        </w:rPr>
        <w:t xml:space="preserve"> A, </w:t>
      </w:r>
      <w:proofErr w:type="spellStart"/>
      <w:r w:rsidRPr="00CC5FBF">
        <w:rPr>
          <w:rStyle w:val="element-citation"/>
        </w:rPr>
        <w:t>Akang</w:t>
      </w:r>
      <w:proofErr w:type="spellEnd"/>
      <w:r w:rsidRPr="00CC5FBF">
        <w:rPr>
          <w:rStyle w:val="element-citation"/>
        </w:rPr>
        <w:t xml:space="preserve"> E. Orbital intravascular papillary endothelial hyperplasia in a Nigerian child: A case report and review of the literature. </w:t>
      </w:r>
      <w:r w:rsidRPr="00CC5FBF">
        <w:rPr>
          <w:rStyle w:val="ref-journal"/>
          <w:i/>
          <w:iCs/>
        </w:rPr>
        <w:t>J Med Case Rep</w:t>
      </w:r>
      <w:r w:rsidRPr="00CC5FBF">
        <w:rPr>
          <w:rStyle w:val="ref-journal"/>
        </w:rPr>
        <w:t xml:space="preserve">. </w:t>
      </w:r>
      <w:r w:rsidRPr="00CC5FBF">
        <w:rPr>
          <w:rStyle w:val="element-citation"/>
        </w:rPr>
        <w:t>2012;</w:t>
      </w:r>
      <w:r w:rsidRPr="00CC5FBF">
        <w:rPr>
          <w:rStyle w:val="ref-vol"/>
        </w:rPr>
        <w:t>6</w:t>
      </w:r>
      <w:r w:rsidRPr="00CC5FBF">
        <w:rPr>
          <w:rStyle w:val="element-citation"/>
        </w:rPr>
        <w:t>:300.</w:t>
      </w:r>
    </w:p>
    <w:p w14:paraId="44CAD6B9" w14:textId="77777777" w:rsidR="00C64D2A" w:rsidRPr="00CC5FBF" w:rsidRDefault="00C64D2A" w:rsidP="00C64D2A">
      <w:pPr>
        <w:rPr>
          <w:rStyle w:val="element-citation"/>
        </w:rPr>
      </w:pPr>
      <w:r w:rsidRPr="00CC5FBF">
        <w:t xml:space="preserve">3. </w:t>
      </w:r>
      <w:r w:rsidRPr="00CC5FBF">
        <w:rPr>
          <w:rStyle w:val="element-citation"/>
        </w:rPr>
        <w:t xml:space="preserve">Narwal A, Sen R, Singh V, Gupta A. Masson's hemangioma: A rare </w:t>
      </w:r>
      <w:proofErr w:type="spellStart"/>
      <w:r w:rsidRPr="00CC5FBF">
        <w:rPr>
          <w:rStyle w:val="element-citation"/>
        </w:rPr>
        <w:t>intraoral</w:t>
      </w:r>
      <w:proofErr w:type="spellEnd"/>
      <w:r w:rsidRPr="00CC5FBF">
        <w:rPr>
          <w:rStyle w:val="element-citation"/>
        </w:rPr>
        <w:t xml:space="preserve"> presentation. </w:t>
      </w:r>
      <w:proofErr w:type="spellStart"/>
      <w:r w:rsidRPr="00CC5FBF">
        <w:rPr>
          <w:rStyle w:val="ref-journal"/>
          <w:i/>
          <w:iCs/>
        </w:rPr>
        <w:t>ContempClin</w:t>
      </w:r>
      <w:proofErr w:type="spellEnd"/>
      <w:r w:rsidRPr="00CC5FBF">
        <w:rPr>
          <w:rStyle w:val="ref-journal"/>
          <w:i/>
          <w:iCs/>
        </w:rPr>
        <w:t xml:space="preserve"> Dent</w:t>
      </w:r>
      <w:r w:rsidRPr="00CC5FBF">
        <w:rPr>
          <w:rStyle w:val="ref-journal"/>
        </w:rPr>
        <w:t>.</w:t>
      </w:r>
      <w:r w:rsidRPr="00CC5FBF">
        <w:rPr>
          <w:rStyle w:val="element-citation"/>
        </w:rPr>
        <w:t>2013;</w:t>
      </w:r>
      <w:r w:rsidRPr="00CC5FBF">
        <w:rPr>
          <w:rStyle w:val="ref-vol"/>
        </w:rPr>
        <w:t>4</w:t>
      </w:r>
      <w:r w:rsidRPr="00CC5FBF">
        <w:rPr>
          <w:rStyle w:val="element-citation"/>
        </w:rPr>
        <w:t>:397–401</w:t>
      </w:r>
    </w:p>
    <w:p w14:paraId="349C3FAA" w14:textId="77777777" w:rsidR="00C64D2A" w:rsidRPr="00CC5FBF" w:rsidRDefault="00C64D2A" w:rsidP="00C64D2A">
      <w:pPr>
        <w:spacing w:before="100" w:beforeAutospacing="1" w:after="100" w:afterAutospacing="1" w:line="240" w:lineRule="auto"/>
        <w:rPr>
          <w:rStyle w:val="element-citation"/>
          <w:rFonts w:eastAsia="Times New Roman" w:cs="Times New Roman"/>
        </w:rPr>
      </w:pPr>
      <w:r w:rsidRPr="00CC5FBF">
        <w:rPr>
          <w:rStyle w:val="authorname"/>
        </w:rPr>
        <w:t>4.</w:t>
      </w:r>
      <w:r w:rsidRPr="00CC5FBF">
        <w:rPr>
          <w:rFonts w:eastAsia="Times New Roman" w:cs="Times New Roman"/>
        </w:rPr>
        <w:t>Joaquin </w:t>
      </w:r>
      <w:proofErr w:type="spellStart"/>
      <w:r w:rsidRPr="00CC5FBF">
        <w:rPr>
          <w:rFonts w:eastAsia="Times New Roman" w:cs="Times New Roman"/>
        </w:rPr>
        <w:t>Amérigo</w:t>
      </w:r>
      <w:proofErr w:type="spellEnd"/>
      <w:r w:rsidRPr="00CC5FBF">
        <w:rPr>
          <w:rFonts w:eastAsia="Times New Roman" w:cs="Times New Roman"/>
          <w:b/>
          <w:bCs/>
          <w:vanish/>
        </w:rPr>
        <w:t>Affiliated with</w:t>
      </w:r>
      <w:r w:rsidRPr="00CC5FBF">
        <w:rPr>
          <w:rFonts w:eastAsia="Times New Roman" w:cs="Times New Roman"/>
          <w:vanish/>
        </w:rPr>
        <w:t>Department of Morbid Anatomy, The London Hospital</w:t>
      </w:r>
      <w:r w:rsidRPr="00CC5FBF">
        <w:rPr>
          <w:rFonts w:eastAsia="Times New Roman" w:cs="Times New Roman"/>
        </w:rPr>
        <w:t>, Colin L. Berry</w:t>
      </w:r>
      <w:r>
        <w:rPr>
          <w:rFonts w:eastAsia="Times New Roman" w:cs="Times New Roman"/>
        </w:rPr>
        <w:t>.</w:t>
      </w:r>
      <w:r w:rsidRPr="00CC5FBF">
        <w:t xml:space="preserve">Intravascular </w:t>
      </w:r>
      <w:r>
        <w:t>p</w:t>
      </w:r>
      <w:r w:rsidRPr="00CC5FBF">
        <w:t xml:space="preserve">apillary </w:t>
      </w:r>
      <w:r>
        <w:t>e</w:t>
      </w:r>
      <w:r w:rsidRPr="00CC5FBF">
        <w:t xml:space="preserve">ndothelial </w:t>
      </w:r>
      <w:r>
        <w:t>h</w:t>
      </w:r>
      <w:r w:rsidRPr="00CC5FBF">
        <w:t xml:space="preserve">yperplasia in the skin and subcutaneous </w:t>
      </w:r>
      <w:proofErr w:type="spellStart"/>
      <w:r w:rsidRPr="00CC5FBF">
        <w:t>tissue.</w:t>
      </w:r>
      <w:r w:rsidRPr="00CC5FBF">
        <w:rPr>
          <w:i/>
          <w:iCs/>
        </w:rPr>
        <w:t>Virchows</w:t>
      </w:r>
      <w:proofErr w:type="spellEnd"/>
      <w:r w:rsidRPr="00CC5FBF">
        <w:rPr>
          <w:i/>
          <w:iCs/>
        </w:rPr>
        <w:t xml:space="preserve"> Arch. A Path.Anat.And </w:t>
      </w:r>
      <w:proofErr w:type="spellStart"/>
      <w:r w:rsidRPr="00CC5FBF">
        <w:rPr>
          <w:i/>
          <w:iCs/>
        </w:rPr>
        <w:t>Histol</w:t>
      </w:r>
      <w:r w:rsidRPr="00CC5FBF">
        <w:t>.1980;387:81-90</w:t>
      </w:r>
      <w:proofErr w:type="spellEnd"/>
      <w:r w:rsidRPr="00CC5FBF">
        <w:t xml:space="preserve"> </w:t>
      </w:r>
    </w:p>
    <w:p w14:paraId="69432908" w14:textId="77777777" w:rsidR="00C64D2A" w:rsidRPr="00CC5FBF" w:rsidRDefault="00C64D2A" w:rsidP="00C64D2A">
      <w:pPr>
        <w:rPr>
          <w:rFonts w:cs="Arial"/>
        </w:rPr>
      </w:pPr>
      <w:r w:rsidRPr="00CC5FBF">
        <w:rPr>
          <w:rStyle w:val="element-citation"/>
        </w:rPr>
        <w:t xml:space="preserve">5. </w:t>
      </w:r>
      <w:r w:rsidRPr="00CC5FBF">
        <w:rPr>
          <w:rFonts w:cs="Arial"/>
        </w:rPr>
        <w:t xml:space="preserve">Meadows MC, Sun X, </w:t>
      </w:r>
      <w:proofErr w:type="spellStart"/>
      <w:r w:rsidRPr="00CC5FBF">
        <w:rPr>
          <w:rFonts w:cs="Arial"/>
        </w:rPr>
        <w:t>Dardik</w:t>
      </w:r>
      <w:proofErr w:type="spellEnd"/>
      <w:r w:rsidRPr="00CC5FBF">
        <w:rPr>
          <w:rFonts w:cs="Arial"/>
        </w:rPr>
        <w:t xml:space="preserve"> M, Tarantino DR, Chamberlain RS. </w:t>
      </w:r>
      <w:hyperlink r:id="rId14" w:history="1">
        <w:proofErr w:type="spellStart"/>
        <w:r w:rsidRPr="00CC5FBF">
          <w:rPr>
            <w:rFonts w:cs="Arial"/>
          </w:rPr>
          <w:t>Intraabdominal</w:t>
        </w:r>
        <w:proofErr w:type="spellEnd"/>
        <w:r w:rsidRPr="00CC5FBF">
          <w:rPr>
            <w:rFonts w:cs="Arial"/>
          </w:rPr>
          <w:t xml:space="preserve"> </w:t>
        </w:r>
        <w:r>
          <w:rPr>
            <w:rFonts w:cs="Arial"/>
          </w:rPr>
          <w:t>i</w:t>
        </w:r>
        <w:r w:rsidRPr="00CC5FBF">
          <w:rPr>
            <w:rFonts w:cs="Arial"/>
          </w:rPr>
          <w:t xml:space="preserve">ntravascular </w:t>
        </w:r>
        <w:r>
          <w:rPr>
            <w:rFonts w:cs="Arial"/>
          </w:rPr>
          <w:t>p</w:t>
        </w:r>
        <w:r w:rsidRPr="00CC5FBF">
          <w:rPr>
            <w:rFonts w:cs="Arial"/>
          </w:rPr>
          <w:t xml:space="preserve">apillary </w:t>
        </w:r>
        <w:r>
          <w:rPr>
            <w:rFonts w:cs="Arial"/>
          </w:rPr>
          <w:t>e</w:t>
        </w:r>
        <w:r w:rsidRPr="00CC5FBF">
          <w:rPr>
            <w:rFonts w:cs="Arial"/>
          </w:rPr>
          <w:t xml:space="preserve">ndothelial </w:t>
        </w:r>
        <w:r>
          <w:rPr>
            <w:rFonts w:cs="Arial"/>
          </w:rPr>
          <w:t>h</w:t>
        </w:r>
        <w:r w:rsidRPr="00CC5FBF">
          <w:rPr>
            <w:rFonts w:cs="Arial"/>
          </w:rPr>
          <w:t xml:space="preserve">yperplasia (Masson's </w:t>
        </w:r>
        <w:r>
          <w:rPr>
            <w:rFonts w:cs="Arial"/>
          </w:rPr>
          <w:t>t</w:t>
        </w:r>
        <w:r w:rsidRPr="00CC5FBF">
          <w:rPr>
            <w:rFonts w:cs="Arial"/>
          </w:rPr>
          <w:t>umor): A</w:t>
        </w:r>
        <w:r>
          <w:rPr>
            <w:rFonts w:cs="Arial"/>
          </w:rPr>
          <w:t xml:space="preserve"> r</w:t>
        </w:r>
        <w:r w:rsidRPr="00CC5FBF">
          <w:rPr>
            <w:rFonts w:cs="Arial"/>
          </w:rPr>
          <w:t xml:space="preserve">are and </w:t>
        </w:r>
        <w:r>
          <w:rPr>
            <w:rFonts w:cs="Arial"/>
          </w:rPr>
          <w:t>n</w:t>
        </w:r>
        <w:r w:rsidRPr="00CC5FBF">
          <w:rPr>
            <w:rFonts w:cs="Arial"/>
          </w:rPr>
          <w:t xml:space="preserve">ovel </w:t>
        </w:r>
        <w:r>
          <w:rPr>
            <w:rFonts w:cs="Arial"/>
          </w:rPr>
          <w:t>c</w:t>
        </w:r>
        <w:r w:rsidRPr="00CC5FBF">
          <w:rPr>
            <w:rFonts w:cs="Arial"/>
          </w:rPr>
          <w:t xml:space="preserve">ause of </w:t>
        </w:r>
        <w:r>
          <w:rPr>
            <w:rFonts w:cs="Arial"/>
          </w:rPr>
          <w:t>g</w:t>
        </w:r>
        <w:r w:rsidRPr="00CC5FBF">
          <w:rPr>
            <w:rFonts w:cs="Arial"/>
          </w:rPr>
          <w:t xml:space="preserve">astrointestinal </w:t>
        </w:r>
        <w:r>
          <w:rPr>
            <w:rFonts w:cs="Arial"/>
          </w:rPr>
          <w:t>b</w:t>
        </w:r>
        <w:r w:rsidRPr="00CC5FBF">
          <w:rPr>
            <w:rFonts w:cs="Arial"/>
          </w:rPr>
          <w:t>leeding.</w:t>
        </w:r>
      </w:hyperlink>
      <w:r w:rsidRPr="00CC5FBF">
        <w:rPr>
          <w:rFonts w:cs="Arial"/>
          <w:i/>
          <w:iCs/>
        </w:rPr>
        <w:t xml:space="preserve">Case Rep </w:t>
      </w:r>
      <w:proofErr w:type="spellStart"/>
      <w:r w:rsidRPr="00CC5FBF">
        <w:rPr>
          <w:rFonts w:cs="Arial"/>
          <w:i/>
          <w:iCs/>
        </w:rPr>
        <w:t>Gastroenterol</w:t>
      </w:r>
      <w:r w:rsidRPr="00CC5FBF">
        <w:rPr>
          <w:rFonts w:cs="Arial"/>
        </w:rPr>
        <w:t>.2010</w:t>
      </w:r>
      <w:proofErr w:type="spellEnd"/>
      <w:r w:rsidRPr="00CC5FBF">
        <w:rPr>
          <w:rFonts w:cs="Arial"/>
        </w:rPr>
        <w:t xml:space="preserve"> Mar 20;4(1):124-132.</w:t>
      </w:r>
    </w:p>
    <w:p w14:paraId="508A14A9" w14:textId="77777777" w:rsidR="00C64D2A" w:rsidRPr="00CC5FBF" w:rsidRDefault="00C64D2A" w:rsidP="00C64D2A">
      <w:pPr>
        <w:rPr>
          <w:rFonts w:cs="Arial"/>
        </w:rPr>
      </w:pPr>
      <w:r w:rsidRPr="00CC5FBF">
        <w:rPr>
          <w:rFonts w:cs="Arial"/>
        </w:rPr>
        <w:lastRenderedPageBreak/>
        <w:t xml:space="preserve">6. </w:t>
      </w:r>
      <w:proofErr w:type="spellStart"/>
      <w:r w:rsidRPr="00CC5FBF">
        <w:rPr>
          <w:rFonts w:cs="Arial"/>
        </w:rPr>
        <w:t>Johraku</w:t>
      </w:r>
      <w:proofErr w:type="spellEnd"/>
      <w:r w:rsidRPr="00CC5FBF">
        <w:rPr>
          <w:rFonts w:cs="Arial"/>
        </w:rPr>
        <w:t xml:space="preserve"> A, </w:t>
      </w:r>
      <w:proofErr w:type="spellStart"/>
      <w:r w:rsidRPr="00CC5FBF">
        <w:rPr>
          <w:rFonts w:cs="Arial"/>
        </w:rPr>
        <w:t>Miyanaga</w:t>
      </w:r>
      <w:proofErr w:type="spellEnd"/>
      <w:r w:rsidRPr="00CC5FBF">
        <w:rPr>
          <w:rFonts w:cs="Arial"/>
        </w:rPr>
        <w:t xml:space="preserve"> N, </w:t>
      </w:r>
      <w:proofErr w:type="spellStart"/>
      <w:r w:rsidRPr="00CC5FBF">
        <w:rPr>
          <w:rFonts w:cs="Arial"/>
        </w:rPr>
        <w:t>Sekido</w:t>
      </w:r>
      <w:proofErr w:type="spellEnd"/>
      <w:r w:rsidRPr="00CC5FBF">
        <w:rPr>
          <w:rFonts w:cs="Arial"/>
        </w:rPr>
        <w:t xml:space="preserve"> N, </w:t>
      </w:r>
      <w:proofErr w:type="spellStart"/>
      <w:r w:rsidRPr="00CC5FBF">
        <w:rPr>
          <w:rFonts w:cs="Arial"/>
        </w:rPr>
        <w:t>Ikeda</w:t>
      </w:r>
      <w:proofErr w:type="spellEnd"/>
      <w:r w:rsidRPr="00CC5FBF">
        <w:rPr>
          <w:rFonts w:cs="Arial"/>
        </w:rPr>
        <w:t xml:space="preserve"> H, </w:t>
      </w:r>
      <w:proofErr w:type="spellStart"/>
      <w:r w:rsidRPr="00CC5FBF">
        <w:rPr>
          <w:rFonts w:cs="Arial"/>
        </w:rPr>
        <w:t>Michishita</w:t>
      </w:r>
      <w:proofErr w:type="spellEnd"/>
      <w:r w:rsidRPr="00CC5FBF">
        <w:rPr>
          <w:rFonts w:cs="Arial"/>
        </w:rPr>
        <w:t xml:space="preserve"> N, </w:t>
      </w:r>
      <w:proofErr w:type="spellStart"/>
      <w:r w:rsidRPr="00CC5FBF">
        <w:rPr>
          <w:rFonts w:cs="Arial"/>
        </w:rPr>
        <w:t>Saida</w:t>
      </w:r>
      <w:proofErr w:type="spellEnd"/>
      <w:r w:rsidRPr="00CC5FBF">
        <w:rPr>
          <w:rFonts w:cs="Arial"/>
        </w:rPr>
        <w:t xml:space="preserve"> Y, Fujiwara M, Noguchi M, </w:t>
      </w:r>
      <w:proofErr w:type="spellStart"/>
      <w:r w:rsidRPr="00CC5FBF">
        <w:rPr>
          <w:rFonts w:cs="Arial"/>
        </w:rPr>
        <w:t>Shimazui</w:t>
      </w:r>
      <w:proofErr w:type="spellEnd"/>
      <w:r w:rsidRPr="00CC5FBF">
        <w:rPr>
          <w:rFonts w:cs="Arial"/>
        </w:rPr>
        <w:t xml:space="preserve"> T, </w:t>
      </w:r>
      <w:proofErr w:type="spellStart"/>
      <w:r w:rsidRPr="00CC5FBF">
        <w:rPr>
          <w:rFonts w:cs="Arial"/>
        </w:rPr>
        <w:t>Akaza</w:t>
      </w:r>
      <w:proofErr w:type="spellEnd"/>
      <w:r w:rsidRPr="00CC5FBF">
        <w:rPr>
          <w:rFonts w:cs="Arial"/>
        </w:rPr>
        <w:t xml:space="preserve"> H. </w:t>
      </w:r>
      <w:hyperlink r:id="rId15" w:history="1">
        <w:r w:rsidRPr="00CC5FBF">
          <w:rPr>
            <w:rFonts w:cs="Arial"/>
          </w:rPr>
          <w:t xml:space="preserve">A case of intravascular papillary endothelial hyperplasia (Masson's tumor) arising from renal </w:t>
        </w:r>
        <w:proofErr w:type="spellStart"/>
        <w:r w:rsidRPr="00CC5FBF">
          <w:rPr>
            <w:rFonts w:cs="Arial"/>
          </w:rPr>
          <w:t>sinus.</w:t>
        </w:r>
      </w:hyperlink>
      <w:r w:rsidRPr="00CC5FBF">
        <w:rPr>
          <w:rFonts w:cs="Arial"/>
          <w:i/>
          <w:iCs/>
        </w:rPr>
        <w:t>Jpn</w:t>
      </w:r>
      <w:proofErr w:type="spellEnd"/>
      <w:r w:rsidRPr="00CC5FBF">
        <w:rPr>
          <w:rFonts w:cs="Arial"/>
          <w:i/>
          <w:iCs/>
        </w:rPr>
        <w:t xml:space="preserve"> J </w:t>
      </w:r>
      <w:proofErr w:type="spellStart"/>
      <w:r w:rsidRPr="00CC5FBF">
        <w:rPr>
          <w:rFonts w:cs="Arial"/>
          <w:i/>
          <w:iCs/>
        </w:rPr>
        <w:t>ClinOncol</w:t>
      </w:r>
      <w:proofErr w:type="spellEnd"/>
      <w:r w:rsidRPr="00CC5FBF">
        <w:rPr>
          <w:rFonts w:cs="Arial"/>
        </w:rPr>
        <w:t>. 1997 Dec;27(6):433-6.</w:t>
      </w:r>
    </w:p>
    <w:p w14:paraId="5C4781CB" w14:textId="77777777" w:rsidR="00C64D2A" w:rsidRPr="00CC5FBF" w:rsidRDefault="00C64D2A" w:rsidP="00C64D2A">
      <w:pPr>
        <w:shd w:val="clear" w:color="auto" w:fill="FFFFFF"/>
        <w:spacing w:before="100" w:beforeAutospacing="1" w:after="180" w:line="240" w:lineRule="auto"/>
        <w:textAlignment w:val="center"/>
        <w:rPr>
          <w:rFonts w:eastAsia="Times New Roman" w:cs="Arial"/>
        </w:rPr>
      </w:pPr>
      <w:r w:rsidRPr="00CC5FBF">
        <w:rPr>
          <w:rFonts w:cs="Arial"/>
        </w:rPr>
        <w:t xml:space="preserve">7. </w:t>
      </w:r>
      <w:r w:rsidRPr="00CC5FBF">
        <w:rPr>
          <w:rFonts w:eastAsia="Times New Roman" w:cs="Arial"/>
        </w:rPr>
        <w:t xml:space="preserve">Choi YD, Kim Y, Kim SS, Kim JH, Nam JH, Choi C, Park CS. </w:t>
      </w:r>
      <w:hyperlink r:id="rId16" w:history="1">
        <w:r w:rsidRPr="00CC5FBF">
          <w:rPr>
            <w:rFonts w:eastAsia="Times New Roman" w:cs="Arial"/>
          </w:rPr>
          <w:t>Intravascular papillary endothelial hyperplasia of the chest wall misdiagnosed as a malignancy on fine needle aspiration.</w:t>
        </w:r>
      </w:hyperlink>
      <w:r w:rsidRPr="00CC5FBF">
        <w:rPr>
          <w:rFonts w:eastAsia="Times New Roman" w:cs="Arial"/>
          <w:i/>
          <w:iCs/>
        </w:rPr>
        <w:t xml:space="preserve">Korean J </w:t>
      </w:r>
      <w:proofErr w:type="spellStart"/>
      <w:r w:rsidRPr="00CC5FBF">
        <w:rPr>
          <w:rFonts w:eastAsia="Times New Roman" w:cs="Arial"/>
          <w:i/>
          <w:iCs/>
        </w:rPr>
        <w:t>Pathol</w:t>
      </w:r>
      <w:proofErr w:type="spellEnd"/>
      <w:r w:rsidRPr="00CC5FBF">
        <w:rPr>
          <w:rFonts w:eastAsia="Times New Roman" w:cs="Arial"/>
        </w:rPr>
        <w:t>. 2013 Oct;47(5):499-501</w:t>
      </w:r>
    </w:p>
    <w:p w14:paraId="3E4B1FE3" w14:textId="77777777" w:rsidR="00C64D2A" w:rsidRPr="00CC5FBF" w:rsidRDefault="00C64D2A" w:rsidP="00C64D2A">
      <w:pPr>
        <w:shd w:val="clear" w:color="auto" w:fill="FFFFFF"/>
        <w:spacing w:before="100" w:beforeAutospacing="1" w:after="180" w:line="240" w:lineRule="auto"/>
        <w:textAlignment w:val="center"/>
        <w:rPr>
          <w:rFonts w:cs="Arial"/>
        </w:rPr>
      </w:pPr>
      <w:r w:rsidRPr="00CC5FBF">
        <w:rPr>
          <w:rFonts w:eastAsia="Times New Roman" w:cs="Arial"/>
        </w:rPr>
        <w:t xml:space="preserve">8. </w:t>
      </w:r>
      <w:proofErr w:type="spellStart"/>
      <w:r w:rsidRPr="00CC5FBF">
        <w:rPr>
          <w:rFonts w:cs="Arial"/>
        </w:rPr>
        <w:t>Yanagawa</w:t>
      </w:r>
      <w:proofErr w:type="spellEnd"/>
      <w:r w:rsidRPr="00CC5FBF">
        <w:rPr>
          <w:rFonts w:cs="Arial"/>
        </w:rPr>
        <w:t xml:space="preserve"> N, </w:t>
      </w:r>
      <w:proofErr w:type="spellStart"/>
      <w:r w:rsidRPr="00CC5FBF">
        <w:rPr>
          <w:rFonts w:cs="Arial"/>
        </w:rPr>
        <w:t>Shiono</w:t>
      </w:r>
      <w:proofErr w:type="spellEnd"/>
      <w:r w:rsidRPr="00CC5FBF">
        <w:rPr>
          <w:rFonts w:cs="Arial"/>
        </w:rPr>
        <w:t xml:space="preserve"> S, </w:t>
      </w:r>
      <w:proofErr w:type="spellStart"/>
      <w:r w:rsidRPr="00CC5FBF">
        <w:rPr>
          <w:rFonts w:cs="Arial"/>
        </w:rPr>
        <w:t>Abiko</w:t>
      </w:r>
      <w:proofErr w:type="spellEnd"/>
      <w:r w:rsidRPr="00CC5FBF">
        <w:rPr>
          <w:rFonts w:cs="Arial"/>
        </w:rPr>
        <w:t xml:space="preserve"> M, </w:t>
      </w:r>
      <w:proofErr w:type="spellStart"/>
      <w:r w:rsidRPr="00CC5FBF">
        <w:rPr>
          <w:rFonts w:cs="Arial"/>
        </w:rPr>
        <w:t>Katahira</w:t>
      </w:r>
      <w:proofErr w:type="spellEnd"/>
      <w:r w:rsidRPr="00CC5FBF">
        <w:rPr>
          <w:rFonts w:cs="Arial"/>
        </w:rPr>
        <w:t xml:space="preserve"> M, Ogata SY, Tamura G, Sato T. </w:t>
      </w:r>
      <w:hyperlink r:id="rId17" w:history="1">
        <w:r w:rsidRPr="00CC5FBF">
          <w:rPr>
            <w:rFonts w:cs="Arial"/>
          </w:rPr>
          <w:t xml:space="preserve">Intravascular papillary endothelial hyperplasia of the </w:t>
        </w:r>
        <w:proofErr w:type="spellStart"/>
        <w:r w:rsidRPr="00CC5FBF">
          <w:rPr>
            <w:rFonts w:cs="Arial"/>
          </w:rPr>
          <w:t>lung.</w:t>
        </w:r>
      </w:hyperlink>
      <w:r w:rsidRPr="00CC5FBF">
        <w:rPr>
          <w:rFonts w:cs="Arial"/>
          <w:i/>
          <w:iCs/>
        </w:rPr>
        <w:t>KyobuGeka</w:t>
      </w:r>
      <w:proofErr w:type="spellEnd"/>
      <w:r w:rsidRPr="00CC5FBF">
        <w:rPr>
          <w:rFonts w:cs="Arial"/>
        </w:rPr>
        <w:t>. 2014 Jul;67(7):533-5</w:t>
      </w:r>
    </w:p>
    <w:p w14:paraId="63132AD1" w14:textId="77777777" w:rsidR="00C64D2A" w:rsidRPr="00CC5FBF" w:rsidRDefault="00C64D2A" w:rsidP="00C64D2A">
      <w:pPr>
        <w:shd w:val="clear" w:color="auto" w:fill="FFFFFF"/>
        <w:spacing w:before="100" w:beforeAutospacing="1" w:after="100" w:afterAutospacing="1" w:line="240" w:lineRule="auto"/>
        <w:rPr>
          <w:rFonts w:eastAsia="Times New Roman" w:cs="Arial"/>
        </w:rPr>
      </w:pPr>
      <w:r w:rsidRPr="00CC5FBF">
        <w:rPr>
          <w:rFonts w:cs="Arial"/>
        </w:rPr>
        <w:t>9.</w:t>
      </w:r>
      <w:r w:rsidRPr="00CC5FBF">
        <w:rPr>
          <w:rFonts w:eastAsia="Times New Roman" w:cs="Arial"/>
        </w:rPr>
        <w:t xml:space="preserve"> </w:t>
      </w:r>
      <w:proofErr w:type="spellStart"/>
      <w:r w:rsidRPr="00CC5FBF">
        <w:rPr>
          <w:rFonts w:eastAsia="Times New Roman" w:cs="Arial"/>
        </w:rPr>
        <w:t>Kawashima</w:t>
      </w:r>
      <w:proofErr w:type="spellEnd"/>
      <w:r w:rsidRPr="00CC5FBF">
        <w:rPr>
          <w:rFonts w:eastAsia="Times New Roman" w:cs="Arial"/>
        </w:rPr>
        <w:t xml:space="preserve"> A, </w:t>
      </w:r>
      <w:proofErr w:type="spellStart"/>
      <w:r w:rsidRPr="00CC5FBF">
        <w:rPr>
          <w:rFonts w:eastAsia="Times New Roman" w:cs="Arial"/>
        </w:rPr>
        <w:t>Johsen</w:t>
      </w:r>
      <w:proofErr w:type="spellEnd"/>
      <w:r w:rsidRPr="00CC5FBF">
        <w:rPr>
          <w:rFonts w:eastAsia="Times New Roman" w:cs="Arial"/>
        </w:rPr>
        <w:t xml:space="preserve"> T, </w:t>
      </w:r>
      <w:proofErr w:type="spellStart"/>
      <w:r w:rsidRPr="00CC5FBF">
        <w:rPr>
          <w:rFonts w:eastAsia="Times New Roman" w:cs="Arial"/>
        </w:rPr>
        <w:t>Murayama</w:t>
      </w:r>
      <w:proofErr w:type="spellEnd"/>
      <w:r w:rsidRPr="00CC5FBF">
        <w:rPr>
          <w:rFonts w:eastAsia="Times New Roman" w:cs="Arial"/>
        </w:rPr>
        <w:t xml:space="preserve"> S, Russell WJ.</w:t>
      </w:r>
      <w:r w:rsidRPr="00CC5FBF">
        <w:rPr>
          <w:rFonts w:eastAsia="Times New Roman" w:cs="Arial"/>
        </w:rPr>
        <w:object w:dxaOrig="1440" w:dyaOrig="1440" w14:anchorId="3EACE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18.7pt" o:ole="">
            <v:imagedata r:id="rId18" o:title=""/>
          </v:shape>
          <w:control r:id="rId19" w:name="DefaultOcxName38" w:shapeid="_x0000_i1026"/>
        </w:object>
      </w:r>
      <w:r w:rsidRPr="00CC5FBF">
        <w:rPr>
          <w:rFonts w:eastAsia="Times New Roman" w:cs="Arial"/>
        </w:rPr>
        <w:object w:dxaOrig="1440" w:dyaOrig="1440" w14:anchorId="049BC72E">
          <v:shape id="_x0000_i1028" type="#_x0000_t75" style="width:1in;height:18.7pt" o:ole="">
            <v:imagedata r:id="rId20" o:title=""/>
          </v:shape>
          <w:control r:id="rId21" w:name="DefaultOcxName39" w:shapeid="_x0000_i1028"/>
        </w:object>
      </w:r>
      <w:hyperlink r:id="rId22" w:history="1">
        <w:r w:rsidRPr="00CC5FBF">
          <w:rPr>
            <w:rFonts w:eastAsia="Times New Roman" w:cs="Arial"/>
          </w:rPr>
          <w:t>Intravascular papillary endothelial hyperplasia of the adrenal gland.</w:t>
        </w:r>
      </w:hyperlink>
      <w:r w:rsidRPr="00CC5FBF">
        <w:rPr>
          <w:rFonts w:eastAsia="Times New Roman" w:cs="Arial"/>
          <w:i/>
          <w:iCs/>
        </w:rPr>
        <w:t xml:space="preserve">Br J </w:t>
      </w:r>
      <w:proofErr w:type="spellStart"/>
      <w:r w:rsidRPr="00CC5FBF">
        <w:rPr>
          <w:rFonts w:eastAsia="Times New Roman" w:cs="Arial"/>
          <w:i/>
          <w:iCs/>
        </w:rPr>
        <w:t>Radiol</w:t>
      </w:r>
      <w:proofErr w:type="spellEnd"/>
      <w:r w:rsidRPr="00CC5FBF">
        <w:rPr>
          <w:rFonts w:eastAsia="Times New Roman" w:cs="Arial"/>
          <w:i/>
          <w:iCs/>
        </w:rPr>
        <w:t>.</w:t>
      </w:r>
      <w:r w:rsidRPr="00CC5FBF">
        <w:rPr>
          <w:rFonts w:eastAsia="Times New Roman" w:cs="Arial"/>
        </w:rPr>
        <w:t xml:space="preserve"> 1986 Jun;59(702):610-3</w:t>
      </w:r>
    </w:p>
    <w:p w14:paraId="715E8E95" w14:textId="77777777" w:rsidR="00C64D2A" w:rsidRPr="00CC5FBF" w:rsidRDefault="00C64D2A" w:rsidP="00C64D2A">
      <w:pPr>
        <w:shd w:val="clear" w:color="auto" w:fill="FFFFFF"/>
        <w:spacing w:after="0" w:line="240" w:lineRule="auto"/>
        <w:rPr>
          <w:rFonts w:eastAsia="Times New Roman" w:cs="Arial"/>
        </w:rPr>
      </w:pPr>
      <w:r w:rsidRPr="00CC5FBF">
        <w:rPr>
          <w:rFonts w:eastAsia="Times New Roman" w:cs="Arial"/>
        </w:rPr>
        <w:t xml:space="preserve">10. </w:t>
      </w:r>
      <w:proofErr w:type="spellStart"/>
      <w:r w:rsidRPr="00CC5FBF">
        <w:rPr>
          <w:rFonts w:eastAsia="Times New Roman" w:cs="Arial"/>
        </w:rPr>
        <w:t>Nassif</w:t>
      </w:r>
      <w:proofErr w:type="spellEnd"/>
      <w:r w:rsidRPr="00CC5FBF">
        <w:rPr>
          <w:rFonts w:eastAsia="Times New Roman" w:cs="Arial"/>
        </w:rPr>
        <w:t xml:space="preserve"> AE, </w:t>
      </w:r>
      <w:proofErr w:type="spellStart"/>
      <w:r w:rsidRPr="00CC5FBF">
        <w:rPr>
          <w:rFonts w:eastAsia="Times New Roman" w:cs="Arial"/>
        </w:rPr>
        <w:t>Pozzobon</w:t>
      </w:r>
      <w:proofErr w:type="spellEnd"/>
      <w:r w:rsidRPr="00CC5FBF">
        <w:rPr>
          <w:rFonts w:eastAsia="Times New Roman" w:cs="Arial"/>
        </w:rPr>
        <w:t xml:space="preserve"> HJ, </w:t>
      </w:r>
      <w:proofErr w:type="spellStart"/>
      <w:r w:rsidRPr="00CC5FBF">
        <w:rPr>
          <w:rFonts w:eastAsia="Times New Roman" w:cs="Arial"/>
        </w:rPr>
        <w:t>Azevedo</w:t>
      </w:r>
      <w:proofErr w:type="spellEnd"/>
      <w:r w:rsidRPr="00CC5FBF">
        <w:rPr>
          <w:rFonts w:eastAsia="Times New Roman" w:cs="Arial"/>
        </w:rPr>
        <w:t xml:space="preserve"> EZ, </w:t>
      </w:r>
      <w:proofErr w:type="spellStart"/>
      <w:r w:rsidRPr="00CC5FBF">
        <w:rPr>
          <w:rFonts w:eastAsia="Times New Roman" w:cs="Arial"/>
        </w:rPr>
        <w:t>Taguchi</w:t>
      </w:r>
      <w:proofErr w:type="spellEnd"/>
      <w:r w:rsidRPr="00CC5FBF">
        <w:rPr>
          <w:rFonts w:eastAsia="Times New Roman" w:cs="Arial"/>
        </w:rPr>
        <w:t xml:space="preserve"> WS, Gomes RX.</w:t>
      </w:r>
      <w:r w:rsidRPr="00CC5FBF">
        <w:rPr>
          <w:rFonts w:eastAsia="Times New Roman" w:cs="Arial"/>
        </w:rPr>
        <w:object w:dxaOrig="1440" w:dyaOrig="1440" w14:anchorId="72EB3AE2">
          <v:shape id="_x0000_i1030" type="#_x0000_t75" style="width:1in;height:18.7pt" o:ole="">
            <v:imagedata r:id="rId23" o:title=""/>
          </v:shape>
          <w:control r:id="rId24" w:name="DefaultOcxName" w:shapeid="_x0000_i1030"/>
        </w:object>
      </w:r>
      <w:r w:rsidRPr="00CC5FBF">
        <w:rPr>
          <w:rFonts w:eastAsia="Times New Roman" w:cs="Arial"/>
        </w:rPr>
        <w:object w:dxaOrig="1440" w:dyaOrig="1440" w14:anchorId="18794A66">
          <v:shape id="_x0000_i1032" type="#_x0000_t75" style="width:1in;height:18.7pt" o:ole="">
            <v:imagedata r:id="rId25" o:title=""/>
          </v:shape>
          <w:control r:id="rId26" w:name="DefaultOcxName1" w:shapeid="_x0000_i1032"/>
        </w:object>
      </w:r>
      <w:hyperlink r:id="rId27" w:history="1">
        <w:r w:rsidRPr="00CC5FBF">
          <w:rPr>
            <w:rFonts w:eastAsia="Times New Roman" w:cs="Arial"/>
          </w:rPr>
          <w:t>Papillary endothelial hyperplasia of adrenal: case report.</w:t>
        </w:r>
      </w:hyperlink>
    </w:p>
    <w:p w14:paraId="5390D13B" w14:textId="77777777" w:rsidR="00C64D2A" w:rsidRPr="00CC5FBF" w:rsidRDefault="00C64D2A" w:rsidP="00C64D2A">
      <w:pPr>
        <w:shd w:val="clear" w:color="auto" w:fill="FFFFFF"/>
        <w:spacing w:line="240" w:lineRule="auto"/>
        <w:rPr>
          <w:rFonts w:eastAsia="Times New Roman" w:cs="Arial"/>
        </w:rPr>
      </w:pPr>
      <w:r w:rsidRPr="00CC5FBF">
        <w:rPr>
          <w:rFonts w:eastAsia="Times New Roman" w:cs="Arial"/>
          <w:i/>
          <w:iCs/>
        </w:rPr>
        <w:t>Rev Col Bras Cir</w:t>
      </w:r>
      <w:r w:rsidRPr="00CC5FBF">
        <w:rPr>
          <w:rFonts w:eastAsia="Times New Roman" w:cs="Arial"/>
        </w:rPr>
        <w:t xml:space="preserve">. 2009 Jul;36(3):277-8. </w:t>
      </w:r>
    </w:p>
    <w:p w14:paraId="75B79BDF" w14:textId="77777777" w:rsidR="00C64D2A" w:rsidRPr="00CC5FBF" w:rsidRDefault="00C64D2A" w:rsidP="00C64D2A">
      <w:pPr>
        <w:pStyle w:val="title1"/>
        <w:shd w:val="clear" w:color="auto" w:fill="FFFFFF"/>
        <w:rPr>
          <w:rFonts w:asciiTheme="minorHAnsi" w:hAnsiTheme="minorHAnsi" w:cs="Arial"/>
          <w:sz w:val="22"/>
          <w:szCs w:val="22"/>
        </w:rPr>
      </w:pPr>
      <w:r w:rsidRPr="00CC5FBF">
        <w:rPr>
          <w:rFonts w:asciiTheme="minorHAnsi" w:hAnsiTheme="minorHAnsi" w:cs="Arial"/>
          <w:sz w:val="22"/>
          <w:szCs w:val="22"/>
        </w:rPr>
        <w:t xml:space="preserve">11. </w:t>
      </w:r>
      <w:proofErr w:type="spellStart"/>
      <w:r w:rsidRPr="00CC5FBF">
        <w:rPr>
          <w:rFonts w:asciiTheme="minorHAnsi" w:hAnsiTheme="minorHAnsi" w:cs="Arial"/>
          <w:sz w:val="22"/>
          <w:szCs w:val="22"/>
        </w:rPr>
        <w:t>Gaffey</w:t>
      </w:r>
      <w:proofErr w:type="spellEnd"/>
      <w:r w:rsidRPr="00CC5FBF">
        <w:rPr>
          <w:rFonts w:asciiTheme="minorHAnsi" w:hAnsiTheme="minorHAnsi" w:cs="Arial"/>
          <w:sz w:val="22"/>
          <w:szCs w:val="22"/>
        </w:rPr>
        <w:t xml:space="preserve"> MJ, Mills SE, </w:t>
      </w:r>
      <w:proofErr w:type="spellStart"/>
      <w:r w:rsidRPr="00CC5FBF">
        <w:rPr>
          <w:rFonts w:asciiTheme="minorHAnsi" w:hAnsiTheme="minorHAnsi" w:cs="Arial"/>
          <w:sz w:val="22"/>
          <w:szCs w:val="22"/>
        </w:rPr>
        <w:t>Fechner</w:t>
      </w:r>
      <w:proofErr w:type="spellEnd"/>
      <w:r w:rsidRPr="00CC5FBF">
        <w:rPr>
          <w:rFonts w:asciiTheme="minorHAnsi" w:hAnsiTheme="minorHAnsi" w:cs="Arial"/>
          <w:sz w:val="22"/>
          <w:szCs w:val="22"/>
        </w:rPr>
        <w:t xml:space="preserve"> RE, </w:t>
      </w:r>
      <w:proofErr w:type="spellStart"/>
      <w:r w:rsidRPr="00CC5FBF">
        <w:rPr>
          <w:rFonts w:asciiTheme="minorHAnsi" w:hAnsiTheme="minorHAnsi" w:cs="Arial"/>
          <w:sz w:val="22"/>
          <w:szCs w:val="22"/>
        </w:rPr>
        <w:t>Bertholf</w:t>
      </w:r>
      <w:proofErr w:type="spellEnd"/>
      <w:r w:rsidRPr="00CC5FBF">
        <w:rPr>
          <w:rFonts w:asciiTheme="minorHAnsi" w:hAnsiTheme="minorHAnsi" w:cs="Arial"/>
          <w:sz w:val="22"/>
          <w:szCs w:val="22"/>
        </w:rPr>
        <w:t xml:space="preserve"> MF, Allen MS Jr .</w:t>
      </w:r>
      <w:hyperlink r:id="rId28" w:history="1">
        <w:r w:rsidRPr="00CC5FBF">
          <w:rPr>
            <w:rFonts w:asciiTheme="minorHAnsi" w:hAnsiTheme="minorHAnsi" w:cs="Arial"/>
            <w:sz w:val="22"/>
            <w:szCs w:val="22"/>
          </w:rPr>
          <w:t xml:space="preserve">Vascular adrenal cysts. A </w:t>
        </w:r>
        <w:proofErr w:type="spellStart"/>
        <w:r w:rsidRPr="00CC5FBF">
          <w:rPr>
            <w:rFonts w:asciiTheme="minorHAnsi" w:hAnsiTheme="minorHAnsi" w:cs="Arial"/>
            <w:sz w:val="22"/>
            <w:szCs w:val="22"/>
          </w:rPr>
          <w:t>clinicopathologic</w:t>
        </w:r>
        <w:proofErr w:type="spellEnd"/>
        <w:r w:rsidRPr="00CC5FBF">
          <w:rPr>
            <w:rFonts w:asciiTheme="minorHAnsi" w:hAnsiTheme="minorHAnsi" w:cs="Arial"/>
            <w:sz w:val="22"/>
            <w:szCs w:val="22"/>
          </w:rPr>
          <w:t xml:space="preserve"> and </w:t>
        </w:r>
        <w:proofErr w:type="spellStart"/>
        <w:r w:rsidRPr="00CC5FBF">
          <w:rPr>
            <w:rFonts w:asciiTheme="minorHAnsi" w:hAnsiTheme="minorHAnsi" w:cs="Arial"/>
            <w:sz w:val="22"/>
            <w:szCs w:val="22"/>
          </w:rPr>
          <w:t>immunohistochemical</w:t>
        </w:r>
        <w:proofErr w:type="spellEnd"/>
        <w:r w:rsidRPr="00CC5FBF">
          <w:rPr>
            <w:rFonts w:asciiTheme="minorHAnsi" w:hAnsiTheme="minorHAnsi" w:cs="Arial"/>
            <w:sz w:val="22"/>
            <w:szCs w:val="22"/>
          </w:rPr>
          <w:t xml:space="preserve"> study of endothelial and hemorrhagic (</w:t>
        </w:r>
        <w:proofErr w:type="spellStart"/>
        <w:r w:rsidRPr="00CC5FBF">
          <w:rPr>
            <w:rFonts w:asciiTheme="minorHAnsi" w:hAnsiTheme="minorHAnsi" w:cs="Arial"/>
            <w:sz w:val="22"/>
            <w:szCs w:val="22"/>
          </w:rPr>
          <w:t>pseudocystic</w:t>
        </w:r>
        <w:proofErr w:type="spellEnd"/>
        <w:r w:rsidRPr="00CC5FBF">
          <w:rPr>
            <w:rFonts w:asciiTheme="minorHAnsi" w:hAnsiTheme="minorHAnsi" w:cs="Arial"/>
            <w:sz w:val="22"/>
            <w:szCs w:val="22"/>
          </w:rPr>
          <w:t>) variants.</w:t>
        </w:r>
      </w:hyperlink>
      <w:r w:rsidRPr="00CC5FBF">
        <w:rPr>
          <w:rStyle w:val="jrnl"/>
          <w:rFonts w:asciiTheme="minorHAnsi" w:hAnsiTheme="minorHAnsi" w:cs="Arial"/>
          <w:i/>
          <w:iCs/>
          <w:sz w:val="22"/>
          <w:szCs w:val="22"/>
        </w:rPr>
        <w:t xml:space="preserve">Am J </w:t>
      </w:r>
      <w:proofErr w:type="spellStart"/>
      <w:r w:rsidRPr="00CC5FBF">
        <w:rPr>
          <w:rStyle w:val="jrnl"/>
          <w:rFonts w:asciiTheme="minorHAnsi" w:hAnsiTheme="minorHAnsi" w:cs="Arial"/>
          <w:i/>
          <w:iCs/>
          <w:sz w:val="22"/>
          <w:szCs w:val="22"/>
        </w:rPr>
        <w:t>SurgPathol</w:t>
      </w:r>
      <w:proofErr w:type="spellEnd"/>
      <w:r w:rsidRPr="00CC5FBF">
        <w:rPr>
          <w:rFonts w:asciiTheme="minorHAnsi" w:hAnsiTheme="minorHAnsi" w:cs="Arial"/>
          <w:sz w:val="22"/>
          <w:szCs w:val="22"/>
        </w:rPr>
        <w:t>. 1989 Sep;13(9):740-7.</w:t>
      </w:r>
    </w:p>
    <w:p w14:paraId="1FE3B93E" w14:textId="77777777" w:rsidR="00C64D2A" w:rsidRPr="00CC5FBF" w:rsidRDefault="00C64D2A" w:rsidP="00C64D2A">
      <w:pPr>
        <w:pStyle w:val="details1"/>
        <w:shd w:val="clear" w:color="auto" w:fill="FFFFFF"/>
        <w:rPr>
          <w:rFonts w:asciiTheme="minorHAnsi" w:hAnsiTheme="minorHAnsi" w:cs="Arial"/>
        </w:rPr>
      </w:pPr>
    </w:p>
    <w:p w14:paraId="7E46437B" w14:textId="77777777" w:rsidR="00C64D2A" w:rsidRPr="00CC5FBF" w:rsidRDefault="00C64D2A" w:rsidP="00C64D2A">
      <w:pPr>
        <w:pStyle w:val="desc2"/>
        <w:shd w:val="clear" w:color="auto" w:fill="FFFFFF"/>
        <w:rPr>
          <w:rFonts w:asciiTheme="minorHAnsi" w:hAnsiTheme="minorHAnsi" w:cs="Arial"/>
          <w:sz w:val="22"/>
          <w:szCs w:val="22"/>
        </w:rPr>
      </w:pPr>
      <w:r>
        <w:rPr>
          <w:rFonts w:ascii="Arial" w:hAnsi="Arial" w:cs="Arial"/>
          <w:sz w:val="20"/>
          <w:szCs w:val="20"/>
        </w:rPr>
        <w:t>12.</w:t>
      </w:r>
      <w:r w:rsidRPr="00CC5FBF">
        <w:rPr>
          <w:rFonts w:asciiTheme="minorHAnsi" w:hAnsiTheme="minorHAnsi" w:cs="Arial"/>
          <w:sz w:val="22"/>
          <w:szCs w:val="22"/>
        </w:rPr>
        <w:t xml:space="preserve">Jennings TA, Ng B, </w:t>
      </w:r>
      <w:proofErr w:type="spellStart"/>
      <w:r w:rsidRPr="00CC5FBF">
        <w:rPr>
          <w:rFonts w:asciiTheme="minorHAnsi" w:hAnsiTheme="minorHAnsi" w:cs="Arial"/>
          <w:sz w:val="22"/>
          <w:szCs w:val="22"/>
        </w:rPr>
        <w:t>Boguniewicz</w:t>
      </w:r>
      <w:proofErr w:type="spellEnd"/>
      <w:r w:rsidRPr="00CC5FBF">
        <w:rPr>
          <w:rFonts w:asciiTheme="minorHAnsi" w:hAnsiTheme="minorHAnsi" w:cs="Arial"/>
          <w:sz w:val="22"/>
          <w:szCs w:val="22"/>
        </w:rPr>
        <w:t xml:space="preserve"> A, Khan M, Rice D, </w:t>
      </w:r>
      <w:proofErr w:type="spellStart"/>
      <w:r w:rsidRPr="00CC5FBF">
        <w:rPr>
          <w:rFonts w:asciiTheme="minorHAnsi" w:hAnsiTheme="minorHAnsi" w:cs="Arial"/>
          <w:sz w:val="22"/>
          <w:szCs w:val="22"/>
        </w:rPr>
        <w:t>Figge</w:t>
      </w:r>
      <w:proofErr w:type="spellEnd"/>
      <w:r w:rsidRPr="00CC5FBF">
        <w:rPr>
          <w:rFonts w:asciiTheme="minorHAnsi" w:hAnsiTheme="minorHAnsi" w:cs="Arial"/>
          <w:sz w:val="22"/>
          <w:szCs w:val="22"/>
        </w:rPr>
        <w:t xml:space="preserve"> J.</w:t>
      </w:r>
      <w:hyperlink r:id="rId29" w:history="1">
        <w:r w:rsidRPr="00CC5FBF">
          <w:rPr>
            <w:rFonts w:asciiTheme="minorHAnsi" w:hAnsiTheme="minorHAnsi" w:cs="Arial"/>
            <w:sz w:val="22"/>
            <w:szCs w:val="22"/>
          </w:rPr>
          <w:t xml:space="preserve">Adrenal Pseudocysts: Evidence of </w:t>
        </w:r>
        <w:r>
          <w:rPr>
            <w:rFonts w:asciiTheme="minorHAnsi" w:hAnsiTheme="minorHAnsi" w:cs="Arial"/>
            <w:sz w:val="22"/>
            <w:szCs w:val="22"/>
          </w:rPr>
          <w:t>t</w:t>
        </w:r>
        <w:r w:rsidRPr="00CC5FBF">
          <w:rPr>
            <w:rFonts w:asciiTheme="minorHAnsi" w:hAnsiTheme="minorHAnsi" w:cs="Arial"/>
            <w:sz w:val="22"/>
            <w:szCs w:val="22"/>
          </w:rPr>
          <w:t xml:space="preserve">heir </w:t>
        </w:r>
        <w:r>
          <w:rPr>
            <w:rFonts w:asciiTheme="minorHAnsi" w:hAnsiTheme="minorHAnsi" w:cs="Arial"/>
            <w:sz w:val="22"/>
            <w:szCs w:val="22"/>
          </w:rPr>
          <w:t>p</w:t>
        </w:r>
        <w:r w:rsidRPr="00CC5FBF">
          <w:rPr>
            <w:rFonts w:asciiTheme="minorHAnsi" w:hAnsiTheme="minorHAnsi" w:cs="Arial"/>
            <w:sz w:val="22"/>
            <w:szCs w:val="22"/>
          </w:rPr>
          <w:t>osthemorrhagic</w:t>
        </w:r>
        <w:r>
          <w:rPr>
            <w:rFonts w:asciiTheme="minorHAnsi" w:hAnsiTheme="minorHAnsi" w:cs="Arial"/>
            <w:sz w:val="22"/>
            <w:szCs w:val="22"/>
          </w:rPr>
          <w:t>n</w:t>
        </w:r>
        <w:r w:rsidRPr="00CC5FBF">
          <w:rPr>
            <w:rFonts w:asciiTheme="minorHAnsi" w:hAnsiTheme="minorHAnsi" w:cs="Arial"/>
            <w:sz w:val="22"/>
            <w:szCs w:val="22"/>
          </w:rPr>
          <w:t>ature.</w:t>
        </w:r>
      </w:hyperlink>
      <w:r w:rsidRPr="00CC5FBF">
        <w:rPr>
          <w:rStyle w:val="jrnl"/>
          <w:rFonts w:asciiTheme="minorHAnsi" w:hAnsiTheme="minorHAnsi" w:cs="Arial"/>
          <w:i/>
          <w:iCs/>
          <w:sz w:val="22"/>
          <w:szCs w:val="22"/>
        </w:rPr>
        <w:t>EndocrPathol</w:t>
      </w:r>
      <w:r w:rsidRPr="00CC5FBF">
        <w:rPr>
          <w:rFonts w:asciiTheme="minorHAnsi" w:hAnsiTheme="minorHAnsi" w:cs="Arial"/>
          <w:sz w:val="22"/>
          <w:szCs w:val="22"/>
        </w:rPr>
        <w:t>. 1998 Winter;9(1):353-361.</w:t>
      </w:r>
    </w:p>
    <w:p w14:paraId="6897BC38" w14:textId="77777777" w:rsidR="00C64D2A" w:rsidRPr="00CC5FBF" w:rsidRDefault="00C64D2A" w:rsidP="00C64D2A">
      <w:pPr>
        <w:pStyle w:val="HTMLPreformatted"/>
        <w:rPr>
          <w:rFonts w:asciiTheme="minorHAnsi" w:hAnsiTheme="minorHAnsi" w:cs="Arial"/>
          <w:sz w:val="22"/>
          <w:szCs w:val="22"/>
        </w:rPr>
      </w:pPr>
    </w:p>
    <w:p w14:paraId="201C97F9" w14:textId="77777777" w:rsidR="00C64D2A" w:rsidRPr="00CC5FBF" w:rsidRDefault="00C64D2A" w:rsidP="00C64D2A">
      <w:pPr>
        <w:pStyle w:val="HTMLPreformatted"/>
        <w:rPr>
          <w:rFonts w:asciiTheme="minorHAnsi" w:hAnsiTheme="minorHAnsi"/>
          <w:sz w:val="22"/>
          <w:szCs w:val="22"/>
        </w:rPr>
      </w:pPr>
      <w:r w:rsidRPr="00CC5FBF">
        <w:rPr>
          <w:rFonts w:asciiTheme="minorHAnsi" w:hAnsiTheme="minorHAnsi" w:cs="Arial"/>
          <w:sz w:val="22"/>
          <w:szCs w:val="22"/>
        </w:rPr>
        <w:t xml:space="preserve">13. </w:t>
      </w:r>
      <w:r w:rsidRPr="00CC5FBF">
        <w:rPr>
          <w:rFonts w:asciiTheme="minorHAnsi" w:hAnsiTheme="minorHAnsi"/>
          <w:sz w:val="22"/>
          <w:szCs w:val="22"/>
        </w:rPr>
        <w:t>Constantinou C, Sheldon D. Papillary endothelial hyperplasia of the adrenal</w:t>
      </w:r>
    </w:p>
    <w:p w14:paraId="03FEE6F4" w14:textId="77777777" w:rsidR="00C64D2A" w:rsidRPr="00CC5FBF" w:rsidRDefault="00C64D2A" w:rsidP="00C64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rPr>
      </w:pPr>
      <w:r w:rsidRPr="00CC5FBF">
        <w:rPr>
          <w:rFonts w:eastAsia="Times New Roman" w:cs="Courier New"/>
        </w:rPr>
        <w:t xml:space="preserve">gland: report of a case and review of the literature. </w:t>
      </w:r>
      <w:r w:rsidRPr="00CC5FBF">
        <w:rPr>
          <w:rFonts w:eastAsia="Times New Roman" w:cs="Courier New"/>
          <w:i/>
          <w:iCs/>
        </w:rPr>
        <w:t>Am Surg</w:t>
      </w:r>
      <w:r w:rsidRPr="00CC5FBF">
        <w:rPr>
          <w:rFonts w:eastAsia="Times New Roman" w:cs="Courier New"/>
        </w:rPr>
        <w:t>. 2008</w:t>
      </w:r>
      <w:r w:rsidRPr="00CC5FBF">
        <w:rPr>
          <w:rFonts w:eastAsia="Times New Roman" w:cs="Times New Roman"/>
        </w:rPr>
        <w:t>Sep;74(9):813-6</w:t>
      </w:r>
    </w:p>
    <w:p w14:paraId="64EEDAA8" w14:textId="77777777" w:rsidR="00C64D2A" w:rsidRDefault="00C64D2A" w:rsidP="00C64D2A">
      <w:pPr>
        <w:shd w:val="clear" w:color="auto" w:fill="FFFFFF"/>
        <w:spacing w:before="100" w:beforeAutospacing="1" w:after="100" w:afterAutospacing="1" w:line="240" w:lineRule="auto"/>
        <w:rPr>
          <w:rStyle w:val="element-citation"/>
        </w:rPr>
      </w:pPr>
      <w:r w:rsidRPr="000F47E0">
        <w:rPr>
          <w:rFonts w:eastAsia="Times New Roman" w:cs="Times New Roman"/>
        </w:rPr>
        <w:t xml:space="preserve">14. </w:t>
      </w:r>
      <w:r w:rsidRPr="000F47E0">
        <w:rPr>
          <w:rStyle w:val="element-citation"/>
        </w:rPr>
        <w:t xml:space="preserve">Avellino AM, Grant GA, Harris AB, Wallace SK, Shaw CM. Recurrent intracranial Masson's </w:t>
      </w:r>
      <w:proofErr w:type="spellStart"/>
      <w:r w:rsidRPr="000F47E0">
        <w:rPr>
          <w:rStyle w:val="element-citation"/>
        </w:rPr>
        <w:t>vegetant</w:t>
      </w:r>
      <w:proofErr w:type="spellEnd"/>
      <w:r w:rsidRPr="000F47E0">
        <w:rPr>
          <w:rStyle w:val="element-citation"/>
        </w:rPr>
        <w:t xml:space="preserve"> intravascular </w:t>
      </w:r>
      <w:proofErr w:type="spellStart"/>
      <w:r w:rsidRPr="000F47E0">
        <w:rPr>
          <w:rStyle w:val="element-citation"/>
        </w:rPr>
        <w:t>hemangioendothelioma</w:t>
      </w:r>
      <w:proofErr w:type="spellEnd"/>
      <w:r w:rsidRPr="000F47E0">
        <w:rPr>
          <w:rStyle w:val="element-citation"/>
        </w:rPr>
        <w:t xml:space="preserve">. </w:t>
      </w:r>
      <w:r w:rsidRPr="000F47E0">
        <w:rPr>
          <w:rStyle w:val="ref-journal"/>
          <w:i/>
          <w:iCs/>
        </w:rPr>
        <w:t>J Neurosurg</w:t>
      </w:r>
      <w:r w:rsidRPr="000F47E0">
        <w:rPr>
          <w:rStyle w:val="ref-journal"/>
        </w:rPr>
        <w:t>.</w:t>
      </w:r>
      <w:r w:rsidRPr="000F47E0">
        <w:rPr>
          <w:rStyle w:val="element-citation"/>
        </w:rPr>
        <w:t>1999;</w:t>
      </w:r>
      <w:r w:rsidRPr="000F47E0">
        <w:rPr>
          <w:rStyle w:val="ref-vol"/>
        </w:rPr>
        <w:t>91</w:t>
      </w:r>
      <w:r w:rsidRPr="000F47E0">
        <w:rPr>
          <w:rStyle w:val="element-citation"/>
        </w:rPr>
        <w:t>:308–312</w:t>
      </w:r>
    </w:p>
    <w:p w14:paraId="3A474BD4" w14:textId="77777777" w:rsidR="00C64D2A" w:rsidRDefault="00C64D2A" w:rsidP="00C64D2A">
      <w:pPr>
        <w:pStyle w:val="HTMLPreformatted"/>
        <w:rPr>
          <w:rFonts w:asciiTheme="minorHAnsi" w:hAnsiTheme="minorHAnsi" w:cs="Times New Roman"/>
          <w:sz w:val="22"/>
          <w:szCs w:val="22"/>
        </w:rPr>
      </w:pPr>
      <w:r w:rsidRPr="000F47E0">
        <w:rPr>
          <w:rFonts w:asciiTheme="minorHAnsi" w:hAnsiTheme="minorHAnsi" w:cs="Arial"/>
          <w:sz w:val="22"/>
          <w:szCs w:val="22"/>
        </w:rPr>
        <w:t xml:space="preserve">15. </w:t>
      </w:r>
      <w:proofErr w:type="spellStart"/>
      <w:r w:rsidRPr="000F47E0">
        <w:rPr>
          <w:rFonts w:asciiTheme="minorHAnsi" w:hAnsiTheme="minorHAnsi"/>
          <w:sz w:val="22"/>
          <w:szCs w:val="22"/>
        </w:rPr>
        <w:t>Akdur</w:t>
      </w:r>
      <w:proofErr w:type="spellEnd"/>
      <w:r w:rsidRPr="000F47E0">
        <w:rPr>
          <w:rFonts w:asciiTheme="minorHAnsi" w:hAnsiTheme="minorHAnsi"/>
          <w:sz w:val="22"/>
          <w:szCs w:val="22"/>
        </w:rPr>
        <w:t xml:space="preserve"> NC, </w:t>
      </w:r>
      <w:proofErr w:type="spellStart"/>
      <w:r w:rsidRPr="000F47E0">
        <w:rPr>
          <w:rFonts w:asciiTheme="minorHAnsi" w:hAnsiTheme="minorHAnsi"/>
          <w:sz w:val="22"/>
          <w:szCs w:val="22"/>
        </w:rPr>
        <w:t>Donmez</w:t>
      </w:r>
      <w:proofErr w:type="spellEnd"/>
      <w:r w:rsidRPr="000F47E0">
        <w:rPr>
          <w:rFonts w:asciiTheme="minorHAnsi" w:hAnsiTheme="minorHAnsi"/>
          <w:sz w:val="22"/>
          <w:szCs w:val="22"/>
        </w:rPr>
        <w:t xml:space="preserve"> M, </w:t>
      </w:r>
      <w:proofErr w:type="spellStart"/>
      <w:r w:rsidRPr="000F47E0">
        <w:rPr>
          <w:rFonts w:asciiTheme="minorHAnsi" w:hAnsiTheme="minorHAnsi"/>
          <w:sz w:val="22"/>
          <w:szCs w:val="22"/>
        </w:rPr>
        <w:t>Gozel</w:t>
      </w:r>
      <w:proofErr w:type="spellEnd"/>
      <w:r w:rsidRPr="000F47E0">
        <w:rPr>
          <w:rFonts w:asciiTheme="minorHAnsi" w:hAnsiTheme="minorHAnsi"/>
          <w:sz w:val="22"/>
          <w:szCs w:val="22"/>
        </w:rPr>
        <w:t xml:space="preserve"> S, </w:t>
      </w:r>
      <w:proofErr w:type="spellStart"/>
      <w:r w:rsidRPr="000F47E0">
        <w:rPr>
          <w:rFonts w:asciiTheme="minorHAnsi" w:hAnsiTheme="minorHAnsi"/>
          <w:sz w:val="22"/>
          <w:szCs w:val="22"/>
        </w:rPr>
        <w:t>Ustun</w:t>
      </w:r>
      <w:proofErr w:type="spellEnd"/>
      <w:r w:rsidRPr="000F47E0">
        <w:rPr>
          <w:rFonts w:asciiTheme="minorHAnsi" w:hAnsiTheme="minorHAnsi"/>
          <w:sz w:val="22"/>
          <w:szCs w:val="22"/>
        </w:rPr>
        <w:t xml:space="preserve"> H, </w:t>
      </w:r>
      <w:proofErr w:type="spellStart"/>
      <w:r w:rsidRPr="000F47E0">
        <w:rPr>
          <w:rFonts w:asciiTheme="minorHAnsi" w:hAnsiTheme="minorHAnsi"/>
          <w:sz w:val="22"/>
          <w:szCs w:val="22"/>
        </w:rPr>
        <w:t>Hucumenoglu</w:t>
      </w:r>
      <w:proofErr w:type="spellEnd"/>
      <w:r w:rsidRPr="000F47E0">
        <w:rPr>
          <w:rFonts w:asciiTheme="minorHAnsi" w:hAnsiTheme="minorHAnsi"/>
          <w:sz w:val="22"/>
          <w:szCs w:val="22"/>
        </w:rPr>
        <w:t xml:space="preserve"> S. Intravascular papillary endothelial hyperplasia: </w:t>
      </w:r>
      <w:proofErr w:type="spellStart"/>
      <w:r w:rsidRPr="000F47E0">
        <w:rPr>
          <w:rFonts w:asciiTheme="minorHAnsi" w:hAnsiTheme="minorHAnsi"/>
          <w:sz w:val="22"/>
          <w:szCs w:val="22"/>
        </w:rPr>
        <w:t>histomorphological</w:t>
      </w:r>
      <w:proofErr w:type="spellEnd"/>
      <w:r w:rsidRPr="000F47E0">
        <w:rPr>
          <w:rFonts w:asciiTheme="minorHAnsi" w:hAnsiTheme="minorHAnsi"/>
          <w:sz w:val="22"/>
          <w:szCs w:val="22"/>
        </w:rPr>
        <w:t xml:space="preserve"> and immunohistochemicalfeatures.</w:t>
      </w:r>
      <w:r w:rsidRPr="000F47E0">
        <w:rPr>
          <w:rFonts w:asciiTheme="minorHAnsi" w:hAnsiTheme="minorHAnsi" w:cs="Times New Roman"/>
          <w:i/>
          <w:iCs/>
          <w:sz w:val="22"/>
          <w:szCs w:val="22"/>
        </w:rPr>
        <w:t>DiagnPathol</w:t>
      </w:r>
      <w:r w:rsidRPr="000F47E0">
        <w:rPr>
          <w:rFonts w:asciiTheme="minorHAnsi" w:hAnsiTheme="minorHAnsi" w:cs="Times New Roman"/>
          <w:sz w:val="22"/>
          <w:szCs w:val="22"/>
        </w:rPr>
        <w:t>. Oct 14 2013;8:167.</w:t>
      </w:r>
    </w:p>
    <w:p w14:paraId="5C34D3F6" w14:textId="77777777" w:rsidR="00C64D2A" w:rsidRPr="000F47E0" w:rsidRDefault="00C64D2A" w:rsidP="00C64D2A">
      <w:pPr>
        <w:pStyle w:val="HTMLPreformatted"/>
        <w:rPr>
          <w:rFonts w:asciiTheme="minorHAnsi" w:hAnsiTheme="minorHAnsi"/>
          <w:sz w:val="22"/>
          <w:szCs w:val="22"/>
        </w:rPr>
      </w:pPr>
    </w:p>
    <w:p w14:paraId="71B47D4C" w14:textId="77777777" w:rsidR="00C64D2A" w:rsidRPr="000F47E0" w:rsidRDefault="00C64D2A" w:rsidP="00C64D2A">
      <w:pPr>
        <w:pStyle w:val="HTMLPreformatted"/>
        <w:rPr>
          <w:rFonts w:asciiTheme="minorHAnsi" w:hAnsiTheme="minorHAnsi"/>
          <w:sz w:val="22"/>
          <w:szCs w:val="22"/>
        </w:rPr>
      </w:pPr>
      <w:r w:rsidRPr="000F47E0">
        <w:rPr>
          <w:rFonts w:asciiTheme="minorHAnsi" w:hAnsiTheme="minorHAnsi" w:cs="Times New Roman"/>
          <w:sz w:val="22"/>
          <w:szCs w:val="22"/>
        </w:rPr>
        <w:t xml:space="preserve">16. </w:t>
      </w:r>
      <w:proofErr w:type="spellStart"/>
      <w:r w:rsidRPr="000F47E0">
        <w:rPr>
          <w:rFonts w:asciiTheme="minorHAnsi" w:hAnsiTheme="minorHAnsi"/>
          <w:sz w:val="22"/>
          <w:szCs w:val="22"/>
        </w:rPr>
        <w:t>Tedla</w:t>
      </w:r>
      <w:proofErr w:type="spellEnd"/>
      <w:r w:rsidRPr="000F47E0">
        <w:rPr>
          <w:rFonts w:asciiTheme="minorHAnsi" w:hAnsiTheme="minorHAnsi"/>
          <w:sz w:val="22"/>
          <w:szCs w:val="22"/>
        </w:rPr>
        <w:t xml:space="preserve"> M, </w:t>
      </w:r>
      <w:proofErr w:type="spellStart"/>
      <w:r w:rsidRPr="000F47E0">
        <w:rPr>
          <w:rFonts w:asciiTheme="minorHAnsi" w:hAnsiTheme="minorHAnsi"/>
          <w:sz w:val="22"/>
          <w:szCs w:val="22"/>
        </w:rPr>
        <w:t>Bežová</w:t>
      </w:r>
      <w:proofErr w:type="spellEnd"/>
      <w:r w:rsidRPr="000F47E0">
        <w:rPr>
          <w:rFonts w:asciiTheme="minorHAnsi" w:hAnsiTheme="minorHAnsi"/>
          <w:sz w:val="22"/>
          <w:szCs w:val="22"/>
        </w:rPr>
        <w:t xml:space="preserve"> M, </w:t>
      </w:r>
      <w:proofErr w:type="spellStart"/>
      <w:r w:rsidRPr="000F47E0">
        <w:rPr>
          <w:rFonts w:asciiTheme="minorHAnsi" w:hAnsiTheme="minorHAnsi"/>
          <w:sz w:val="22"/>
          <w:szCs w:val="22"/>
        </w:rPr>
        <w:t>Biró</w:t>
      </w:r>
      <w:proofErr w:type="spellEnd"/>
      <w:r w:rsidRPr="000F47E0">
        <w:rPr>
          <w:rFonts w:asciiTheme="minorHAnsi" w:hAnsiTheme="minorHAnsi"/>
          <w:sz w:val="22"/>
          <w:szCs w:val="22"/>
        </w:rPr>
        <w:t xml:space="preserve"> C, </w:t>
      </w:r>
      <w:proofErr w:type="spellStart"/>
      <w:r w:rsidRPr="000F47E0">
        <w:rPr>
          <w:rFonts w:asciiTheme="minorHAnsi" w:hAnsiTheme="minorHAnsi"/>
          <w:sz w:val="22"/>
          <w:szCs w:val="22"/>
        </w:rPr>
        <w:t>Tedlová</w:t>
      </w:r>
      <w:proofErr w:type="spellEnd"/>
      <w:r w:rsidRPr="000F47E0">
        <w:rPr>
          <w:rFonts w:asciiTheme="minorHAnsi" w:hAnsiTheme="minorHAnsi"/>
          <w:sz w:val="22"/>
          <w:szCs w:val="22"/>
        </w:rPr>
        <w:t xml:space="preserve"> E, </w:t>
      </w:r>
      <w:proofErr w:type="spellStart"/>
      <w:r w:rsidRPr="000F47E0">
        <w:rPr>
          <w:rFonts w:asciiTheme="minorHAnsi" w:hAnsiTheme="minorHAnsi"/>
          <w:sz w:val="22"/>
          <w:szCs w:val="22"/>
        </w:rPr>
        <w:t>Eng</w:t>
      </w:r>
      <w:proofErr w:type="spellEnd"/>
      <w:r w:rsidRPr="000F47E0">
        <w:rPr>
          <w:rFonts w:asciiTheme="minorHAnsi" w:hAnsiTheme="minorHAnsi"/>
          <w:sz w:val="22"/>
          <w:szCs w:val="22"/>
        </w:rPr>
        <w:t xml:space="preserve"> CY, </w:t>
      </w:r>
      <w:proofErr w:type="spellStart"/>
      <w:r w:rsidRPr="000F47E0">
        <w:rPr>
          <w:rFonts w:asciiTheme="minorHAnsi" w:hAnsiTheme="minorHAnsi"/>
          <w:sz w:val="22"/>
          <w:szCs w:val="22"/>
        </w:rPr>
        <w:t>Zeleník</w:t>
      </w:r>
      <w:proofErr w:type="spellEnd"/>
      <w:r w:rsidRPr="000F47E0">
        <w:rPr>
          <w:rFonts w:asciiTheme="minorHAnsi" w:hAnsiTheme="minorHAnsi"/>
          <w:sz w:val="22"/>
          <w:szCs w:val="22"/>
        </w:rPr>
        <w:t xml:space="preserve"> K. Intravascular</w:t>
      </w:r>
    </w:p>
    <w:p w14:paraId="3437D342" w14:textId="77777777" w:rsidR="00C64D2A" w:rsidRPr="000F47E0" w:rsidRDefault="00C64D2A" w:rsidP="00C64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rPr>
      </w:pPr>
      <w:r w:rsidRPr="000F47E0">
        <w:rPr>
          <w:rFonts w:eastAsia="Times New Roman" w:cs="Courier New"/>
        </w:rPr>
        <w:t xml:space="preserve">papillary endothelial hyperplasia of larynx: case report and literature review of all head and neck cases. </w:t>
      </w:r>
      <w:proofErr w:type="spellStart"/>
      <w:r w:rsidRPr="000F47E0">
        <w:rPr>
          <w:rFonts w:eastAsia="Times New Roman" w:cs="Courier New"/>
          <w:i/>
          <w:iCs/>
        </w:rPr>
        <w:t>Otolaryngol</w:t>
      </w:r>
      <w:proofErr w:type="spellEnd"/>
      <w:r w:rsidRPr="000F47E0">
        <w:rPr>
          <w:rFonts w:eastAsia="Times New Roman" w:cs="Courier New"/>
          <w:i/>
          <w:iCs/>
        </w:rPr>
        <w:t xml:space="preserve"> Pol</w:t>
      </w:r>
      <w:r w:rsidRPr="000F47E0">
        <w:rPr>
          <w:rFonts w:eastAsia="Times New Roman" w:cs="Courier New"/>
        </w:rPr>
        <w:t xml:space="preserve">. Jul-Aug 2014;68(4):200-3. </w:t>
      </w:r>
    </w:p>
    <w:p w14:paraId="5CB04E30" w14:textId="77777777" w:rsidR="00C64D2A" w:rsidRPr="000F47E0" w:rsidRDefault="00C64D2A" w:rsidP="00C64D2A">
      <w:pPr>
        <w:shd w:val="clear" w:color="auto" w:fill="FFFFFF"/>
        <w:spacing w:before="100" w:beforeAutospacing="1" w:after="180" w:line="240" w:lineRule="auto"/>
        <w:textAlignment w:val="center"/>
        <w:rPr>
          <w:rStyle w:val="element-citation"/>
          <w:rFonts w:cs="Arial"/>
        </w:rPr>
      </w:pPr>
      <w:r w:rsidRPr="000F47E0">
        <w:rPr>
          <w:rFonts w:eastAsia="Times New Roman" w:cs="Times New Roman"/>
        </w:rPr>
        <w:t xml:space="preserve">17. </w:t>
      </w:r>
      <w:proofErr w:type="spellStart"/>
      <w:r w:rsidRPr="000F47E0">
        <w:rPr>
          <w:rFonts w:cs="Arial"/>
        </w:rPr>
        <w:t>Mahapatra</w:t>
      </w:r>
      <w:proofErr w:type="spellEnd"/>
      <w:r w:rsidRPr="000F47E0">
        <w:rPr>
          <w:rFonts w:cs="Arial"/>
        </w:rPr>
        <w:t xml:space="preserve"> QS, </w:t>
      </w:r>
      <w:proofErr w:type="spellStart"/>
      <w:r w:rsidRPr="000F47E0">
        <w:rPr>
          <w:rFonts w:cs="Arial"/>
        </w:rPr>
        <w:t>Sahai</w:t>
      </w:r>
      <w:proofErr w:type="spellEnd"/>
      <w:r w:rsidRPr="000F47E0">
        <w:rPr>
          <w:rFonts w:cs="Arial"/>
        </w:rPr>
        <w:t xml:space="preserve"> K, Malik A, Mani NS.</w:t>
      </w:r>
      <w:hyperlink r:id="rId30" w:history="1">
        <w:r w:rsidRPr="000F47E0">
          <w:rPr>
            <w:rFonts w:cs="Arial"/>
          </w:rPr>
          <w:t>Intravascular papillary endothelial hyperplasia: An unusual histopathological entity.</w:t>
        </w:r>
      </w:hyperlink>
      <w:r w:rsidRPr="000F47E0">
        <w:rPr>
          <w:rFonts w:cs="Arial"/>
          <w:i/>
          <w:iCs/>
        </w:rPr>
        <w:t xml:space="preserve">Indian </w:t>
      </w:r>
      <w:proofErr w:type="spellStart"/>
      <w:r w:rsidRPr="000F47E0">
        <w:rPr>
          <w:rFonts w:cs="Arial"/>
          <w:i/>
          <w:iCs/>
        </w:rPr>
        <w:t>Dermatol</w:t>
      </w:r>
      <w:proofErr w:type="spellEnd"/>
      <w:r w:rsidRPr="000F47E0">
        <w:rPr>
          <w:rFonts w:cs="Arial"/>
          <w:i/>
          <w:iCs/>
        </w:rPr>
        <w:t xml:space="preserve"> Online J</w:t>
      </w:r>
      <w:r w:rsidRPr="000F47E0">
        <w:rPr>
          <w:rFonts w:cs="Arial"/>
        </w:rPr>
        <w:t>. Jul-Aug 2015;6(4):277-9.</w:t>
      </w:r>
    </w:p>
    <w:p w14:paraId="72B45EA7" w14:textId="77777777" w:rsidR="00C64D2A" w:rsidRPr="000F47E0" w:rsidRDefault="00C64D2A" w:rsidP="00C64D2A">
      <w:pPr>
        <w:autoSpaceDE w:val="0"/>
        <w:autoSpaceDN w:val="0"/>
        <w:adjustRightInd w:val="0"/>
        <w:spacing w:after="0" w:line="240" w:lineRule="auto"/>
        <w:rPr>
          <w:rFonts w:cs="Frutiger-Light"/>
        </w:rPr>
      </w:pPr>
      <w:r w:rsidRPr="000F47E0">
        <w:rPr>
          <w:rStyle w:val="element-citation"/>
        </w:rPr>
        <w:t xml:space="preserve">18. </w:t>
      </w:r>
      <w:proofErr w:type="spellStart"/>
      <w:r w:rsidRPr="000F47E0">
        <w:rPr>
          <w:rFonts w:cs="Frutiger-Light"/>
        </w:rPr>
        <w:t>Garber</w:t>
      </w:r>
      <w:proofErr w:type="spellEnd"/>
      <w:r w:rsidRPr="000F47E0">
        <w:rPr>
          <w:rFonts w:cs="Frutiger-Light"/>
        </w:rPr>
        <w:t xml:space="preserve"> BB, </w:t>
      </w:r>
      <w:proofErr w:type="spellStart"/>
      <w:r w:rsidRPr="000F47E0">
        <w:rPr>
          <w:rFonts w:cs="Frutiger-Light"/>
        </w:rPr>
        <w:t>Prestipino</w:t>
      </w:r>
      <w:proofErr w:type="spellEnd"/>
      <w:r w:rsidRPr="000F47E0">
        <w:rPr>
          <w:rFonts w:cs="Frutiger-Light"/>
        </w:rPr>
        <w:t xml:space="preserve"> AJ, Pollack HM, Levine SR, Whitmore KE.</w:t>
      </w:r>
    </w:p>
    <w:p w14:paraId="0CA016FF" w14:textId="77777777" w:rsidR="00C64D2A" w:rsidRPr="000F47E0" w:rsidRDefault="00C64D2A" w:rsidP="00C64D2A">
      <w:pPr>
        <w:autoSpaceDE w:val="0"/>
        <w:autoSpaceDN w:val="0"/>
        <w:adjustRightInd w:val="0"/>
        <w:spacing w:after="0" w:line="240" w:lineRule="auto"/>
        <w:rPr>
          <w:rFonts w:cs="Frutiger-Light"/>
        </w:rPr>
      </w:pPr>
      <w:r w:rsidRPr="000F47E0">
        <w:rPr>
          <w:rFonts w:cs="Frutiger-Light"/>
        </w:rPr>
        <w:t xml:space="preserve">Masson’s tumor of the kidney: a new renal lesion. </w:t>
      </w:r>
      <w:r w:rsidRPr="000F47E0">
        <w:rPr>
          <w:rFonts w:cs="Frutiger-Light"/>
          <w:i/>
          <w:iCs/>
        </w:rPr>
        <w:t>J Urol.</w:t>
      </w:r>
      <w:r w:rsidRPr="000F47E0">
        <w:rPr>
          <w:rFonts w:cs="Frutiger-Light"/>
        </w:rPr>
        <w:t xml:space="preserve"> 1990;143(2):344-6.</w:t>
      </w:r>
    </w:p>
    <w:p w14:paraId="749EDE85" w14:textId="77777777" w:rsidR="00C64D2A" w:rsidRPr="000F47E0" w:rsidRDefault="00C64D2A" w:rsidP="00C64D2A">
      <w:pPr>
        <w:autoSpaceDE w:val="0"/>
        <w:autoSpaceDN w:val="0"/>
        <w:adjustRightInd w:val="0"/>
        <w:spacing w:after="0" w:line="240" w:lineRule="auto"/>
        <w:rPr>
          <w:rFonts w:cs="Frutiger-Light"/>
        </w:rPr>
      </w:pPr>
    </w:p>
    <w:p w14:paraId="0DCB82C4" w14:textId="77777777" w:rsidR="00C64D2A" w:rsidRPr="000F47E0" w:rsidRDefault="00C64D2A" w:rsidP="00C64D2A">
      <w:pPr>
        <w:pStyle w:val="HTMLPreformatted"/>
        <w:rPr>
          <w:rFonts w:asciiTheme="minorHAnsi" w:hAnsiTheme="minorHAnsi" w:cs="Times New Roman"/>
          <w:sz w:val="22"/>
          <w:szCs w:val="22"/>
        </w:rPr>
      </w:pPr>
      <w:r w:rsidRPr="000F47E0">
        <w:rPr>
          <w:rFonts w:asciiTheme="minorHAnsi" w:hAnsiTheme="minorHAnsi" w:cs="Frutiger-Light"/>
          <w:sz w:val="22"/>
          <w:szCs w:val="22"/>
        </w:rPr>
        <w:t xml:space="preserve">19. </w:t>
      </w:r>
      <w:r w:rsidRPr="000F47E0">
        <w:rPr>
          <w:rFonts w:asciiTheme="minorHAnsi" w:hAnsiTheme="minorHAnsi"/>
          <w:sz w:val="22"/>
          <w:szCs w:val="22"/>
        </w:rPr>
        <w:t xml:space="preserve">Park JY, Chung-Park M, Snow M. Intravascular papillary endothelial </w:t>
      </w:r>
      <w:proofErr w:type="spellStart"/>
      <w:r w:rsidRPr="000F47E0">
        <w:rPr>
          <w:rFonts w:asciiTheme="minorHAnsi" w:hAnsiTheme="minorHAnsi"/>
          <w:sz w:val="22"/>
          <w:szCs w:val="22"/>
        </w:rPr>
        <w:t>hyperplasiaof</w:t>
      </w:r>
      <w:proofErr w:type="spellEnd"/>
      <w:r w:rsidRPr="000F47E0">
        <w:rPr>
          <w:rFonts w:asciiTheme="minorHAnsi" w:hAnsiTheme="minorHAnsi"/>
          <w:sz w:val="22"/>
          <w:szCs w:val="22"/>
        </w:rPr>
        <w:t xml:space="preserve"> superior vena cava: a rare cause of the superior vena cava syndrome. </w:t>
      </w:r>
      <w:r w:rsidRPr="000F47E0">
        <w:rPr>
          <w:rFonts w:asciiTheme="minorHAnsi" w:hAnsiTheme="minorHAnsi"/>
          <w:i/>
          <w:iCs/>
          <w:sz w:val="22"/>
          <w:szCs w:val="22"/>
        </w:rPr>
        <w:t>Thorax</w:t>
      </w:r>
      <w:r w:rsidRPr="000F47E0">
        <w:rPr>
          <w:rFonts w:asciiTheme="minorHAnsi" w:hAnsiTheme="minorHAnsi"/>
          <w:sz w:val="22"/>
          <w:szCs w:val="22"/>
        </w:rPr>
        <w:t>.</w:t>
      </w:r>
      <w:r w:rsidRPr="000F47E0">
        <w:rPr>
          <w:rFonts w:asciiTheme="minorHAnsi" w:hAnsiTheme="minorHAnsi" w:cs="Times New Roman"/>
          <w:sz w:val="22"/>
          <w:szCs w:val="22"/>
        </w:rPr>
        <w:t>1991 Apr;46(4):272-3</w:t>
      </w:r>
    </w:p>
    <w:p w14:paraId="536442CA" w14:textId="77777777" w:rsidR="00C64D2A" w:rsidRPr="000F47E0" w:rsidRDefault="00C64D2A" w:rsidP="00C64D2A">
      <w:pPr>
        <w:pStyle w:val="HTMLPreformatted"/>
        <w:rPr>
          <w:rFonts w:asciiTheme="minorHAnsi" w:hAnsiTheme="minorHAnsi" w:cs="Arial"/>
          <w:sz w:val="22"/>
          <w:szCs w:val="22"/>
        </w:rPr>
      </w:pPr>
    </w:p>
    <w:p w14:paraId="486311F4" w14:textId="77777777" w:rsidR="00C64D2A" w:rsidRPr="000F47E0" w:rsidRDefault="00C64D2A" w:rsidP="00C64D2A">
      <w:pPr>
        <w:shd w:val="clear" w:color="auto" w:fill="FFFFFF"/>
        <w:spacing w:after="0" w:line="240" w:lineRule="auto"/>
        <w:jc w:val="both"/>
        <w:rPr>
          <w:rFonts w:eastAsia="Times New Roman" w:cs="Lucida Sans Unicode"/>
          <w:color w:val="222222"/>
        </w:rPr>
      </w:pPr>
      <w:r w:rsidRPr="000F47E0">
        <w:rPr>
          <w:rFonts w:cs="Arial"/>
        </w:rPr>
        <w:t xml:space="preserve">20. </w:t>
      </w:r>
      <w:r w:rsidRPr="000F47E0">
        <w:rPr>
          <w:rFonts w:eastAsia="Times New Roman" w:cs="Lucida Sans Unicode"/>
          <w:color w:val="222222"/>
        </w:rPr>
        <w:t xml:space="preserve">Schwartz SA, </w:t>
      </w:r>
      <w:proofErr w:type="spellStart"/>
      <w:r w:rsidRPr="000F47E0">
        <w:rPr>
          <w:rFonts w:eastAsia="Times New Roman" w:cs="Lucida Sans Unicode"/>
          <w:color w:val="222222"/>
        </w:rPr>
        <w:t>Taljanovic</w:t>
      </w:r>
      <w:proofErr w:type="spellEnd"/>
      <w:r w:rsidRPr="000F47E0">
        <w:rPr>
          <w:rFonts w:eastAsia="Times New Roman" w:cs="Lucida Sans Unicode"/>
          <w:color w:val="222222"/>
        </w:rPr>
        <w:t xml:space="preserve"> MS, </w:t>
      </w:r>
      <w:proofErr w:type="spellStart"/>
      <w:r w:rsidRPr="000F47E0">
        <w:rPr>
          <w:rFonts w:eastAsia="Times New Roman" w:cs="Lucida Sans Unicode"/>
          <w:color w:val="222222"/>
        </w:rPr>
        <w:t>Harrigal</w:t>
      </w:r>
      <w:proofErr w:type="spellEnd"/>
      <w:r w:rsidRPr="000F47E0">
        <w:rPr>
          <w:rFonts w:eastAsia="Times New Roman" w:cs="Lucida Sans Unicode"/>
          <w:color w:val="222222"/>
        </w:rPr>
        <w:t xml:space="preserve"> CL, Graham AR, Smyth SH</w:t>
      </w:r>
      <w:r w:rsidRPr="000F47E0">
        <w:rPr>
          <w:rFonts w:eastAsia="Times New Roman" w:cs="Lucida Sans Unicode"/>
          <w:i/>
          <w:iCs/>
          <w:color w:val="222222"/>
        </w:rPr>
        <w:t xml:space="preserve">. </w:t>
      </w:r>
      <w:r w:rsidRPr="000F47E0">
        <w:rPr>
          <w:rFonts w:eastAsia="Times New Roman" w:cs="Lucida Sans Unicode"/>
          <w:color w:val="222222"/>
        </w:rPr>
        <w:t xml:space="preserve">Intravascular papillary endothelial hyperplasia:sonographicappearance with </w:t>
      </w:r>
      <w:proofErr w:type="spellStart"/>
      <w:r w:rsidRPr="000F47E0">
        <w:rPr>
          <w:rFonts w:eastAsia="Times New Roman" w:cs="Lucida Sans Unicode"/>
          <w:color w:val="222222"/>
        </w:rPr>
        <w:t>histopathologic</w:t>
      </w:r>
      <w:proofErr w:type="spellEnd"/>
      <w:r w:rsidRPr="000F47E0">
        <w:rPr>
          <w:rFonts w:eastAsia="Times New Roman" w:cs="Lucida Sans Unicode"/>
          <w:color w:val="222222"/>
        </w:rPr>
        <w:t xml:space="preserve"> correlation</w:t>
      </w:r>
      <w:r w:rsidRPr="000F47E0">
        <w:rPr>
          <w:rFonts w:eastAsia="Times New Roman" w:cs="Lucida Sans Unicode"/>
          <w:i/>
          <w:iCs/>
          <w:color w:val="222222"/>
        </w:rPr>
        <w:t>. J Ultrasound Med 2008; 27:1651–1653.</w:t>
      </w:r>
    </w:p>
    <w:p w14:paraId="1BB49DED" w14:textId="77777777" w:rsidR="00C64D2A" w:rsidRPr="000F47E0" w:rsidRDefault="00C64D2A" w:rsidP="00C64D2A">
      <w:pPr>
        <w:shd w:val="clear" w:color="auto" w:fill="FFFFFF"/>
        <w:spacing w:before="100" w:beforeAutospacing="1" w:after="180" w:line="240" w:lineRule="auto"/>
        <w:textAlignment w:val="center"/>
        <w:rPr>
          <w:rFonts w:eastAsia="Times New Roman" w:cs="Arial"/>
        </w:rPr>
      </w:pPr>
    </w:p>
    <w:p w14:paraId="7B1B503B" w14:textId="77777777" w:rsidR="00C64D2A" w:rsidRPr="000F47E0" w:rsidRDefault="00C64D2A" w:rsidP="00C64D2A">
      <w:pPr>
        <w:ind w:left="1392"/>
      </w:pPr>
    </w:p>
    <w:p w14:paraId="61E1DE0B" w14:textId="77777777" w:rsidR="00FD119F" w:rsidRDefault="00FD119F"/>
    <w:sectPr w:rsidR="00FD119F" w:rsidSect="00FD119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ara" w:date="2018-07-02T22:43:00Z" w:initials="S">
    <w:p w14:paraId="09D0277A" w14:textId="77777777" w:rsidR="00605398" w:rsidRDefault="00605398" w:rsidP="00C64D2A">
      <w:pPr>
        <w:pStyle w:val="CommentText"/>
        <w:rPr>
          <w:rtl/>
        </w:rPr>
      </w:pPr>
      <w:r>
        <w:rPr>
          <w:rStyle w:val="CommentReference"/>
        </w:rPr>
        <w:annotationRef/>
      </w:r>
      <w:r>
        <w:rPr>
          <w:rFonts w:hint="cs"/>
          <w:rtl/>
        </w:rPr>
        <w:t xml:space="preserve">צריך לתתמספרים  מקרא לתמונות להעביר חיצים למקומות המצויינים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D027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D0277A" w16cid:durableId="1F0022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3E3A4" w14:textId="77777777" w:rsidR="00174918" w:rsidRDefault="00174918" w:rsidP="00174918">
      <w:pPr>
        <w:spacing w:after="0" w:line="240" w:lineRule="auto"/>
      </w:pPr>
      <w:r>
        <w:separator/>
      </w:r>
    </w:p>
  </w:endnote>
  <w:endnote w:type="continuationSeparator" w:id="0">
    <w:p w14:paraId="4C8951C3" w14:textId="77777777" w:rsidR="00174918" w:rsidRDefault="00174918" w:rsidP="00174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Light">
    <w:panose1 w:val="020B0604020202020204"/>
    <w:charset w:val="00"/>
    <w:family w:val="auto"/>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8AF98" w14:textId="77777777" w:rsidR="00174918" w:rsidRDefault="00174918" w:rsidP="00174918">
      <w:pPr>
        <w:spacing w:after="0" w:line="240" w:lineRule="auto"/>
      </w:pPr>
      <w:r>
        <w:separator/>
      </w:r>
    </w:p>
  </w:footnote>
  <w:footnote w:type="continuationSeparator" w:id="0">
    <w:p w14:paraId="3FD0B241" w14:textId="77777777" w:rsidR="00174918" w:rsidRDefault="00174918" w:rsidP="001749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D2A"/>
    <w:rsid w:val="00174918"/>
    <w:rsid w:val="002216A7"/>
    <w:rsid w:val="00262704"/>
    <w:rsid w:val="003C33E0"/>
    <w:rsid w:val="00443A12"/>
    <w:rsid w:val="005D7536"/>
    <w:rsid w:val="005E51B1"/>
    <w:rsid w:val="00605398"/>
    <w:rsid w:val="009F220B"/>
    <w:rsid w:val="00B20506"/>
    <w:rsid w:val="00C64D2A"/>
    <w:rsid w:val="00C862EF"/>
    <w:rsid w:val="00D053F8"/>
    <w:rsid w:val="00D2457A"/>
    <w:rsid w:val="00EA37D8"/>
    <w:rsid w:val="00FD11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E1240EC"/>
  <w15:docId w15:val="{3AAEAD07-6D68-804F-A678-8CDE5136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4D2A"/>
    <w:rPr>
      <w:rFonts w:eastAsiaTheme="minorEastAsia"/>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C64D2A"/>
  </w:style>
  <w:style w:type="character" w:customStyle="1" w:styleId="ref-journal">
    <w:name w:val="ref-journal"/>
    <w:basedOn w:val="DefaultParagraphFont"/>
    <w:rsid w:val="00C64D2A"/>
  </w:style>
  <w:style w:type="character" w:customStyle="1" w:styleId="ref-vol">
    <w:name w:val="ref-vol"/>
    <w:basedOn w:val="DefaultParagraphFont"/>
    <w:rsid w:val="00C64D2A"/>
  </w:style>
  <w:style w:type="paragraph" w:customStyle="1" w:styleId="title1">
    <w:name w:val="title1"/>
    <w:basedOn w:val="Normal"/>
    <w:rsid w:val="00C64D2A"/>
    <w:pPr>
      <w:spacing w:after="0" w:line="240" w:lineRule="auto"/>
    </w:pPr>
    <w:rPr>
      <w:rFonts w:ascii="Times New Roman" w:eastAsia="Times New Roman" w:hAnsi="Times New Roman" w:cs="Times New Roman"/>
      <w:sz w:val="27"/>
      <w:szCs w:val="27"/>
    </w:rPr>
  </w:style>
  <w:style w:type="paragraph" w:customStyle="1" w:styleId="desc2">
    <w:name w:val="desc2"/>
    <w:basedOn w:val="Normal"/>
    <w:rsid w:val="00C64D2A"/>
    <w:pPr>
      <w:spacing w:after="0" w:line="240" w:lineRule="auto"/>
    </w:pPr>
    <w:rPr>
      <w:rFonts w:ascii="Times New Roman" w:eastAsia="Times New Roman" w:hAnsi="Times New Roman" w:cs="Times New Roman"/>
      <w:sz w:val="26"/>
      <w:szCs w:val="26"/>
    </w:rPr>
  </w:style>
  <w:style w:type="paragraph" w:customStyle="1" w:styleId="details1">
    <w:name w:val="details1"/>
    <w:basedOn w:val="Normal"/>
    <w:rsid w:val="00C64D2A"/>
    <w:pPr>
      <w:spacing w:after="0" w:line="240" w:lineRule="auto"/>
    </w:pPr>
    <w:rPr>
      <w:rFonts w:ascii="Times New Roman" w:eastAsia="Times New Roman" w:hAnsi="Times New Roman" w:cs="Times New Roman"/>
    </w:rPr>
  </w:style>
  <w:style w:type="character" w:customStyle="1" w:styleId="jrnl">
    <w:name w:val="jrnl"/>
    <w:basedOn w:val="DefaultParagraphFont"/>
    <w:rsid w:val="00C64D2A"/>
  </w:style>
  <w:style w:type="character" w:customStyle="1" w:styleId="authorname">
    <w:name w:val="authorname"/>
    <w:basedOn w:val="DefaultParagraphFont"/>
    <w:rsid w:val="00C64D2A"/>
  </w:style>
  <w:style w:type="paragraph" w:styleId="HTMLPreformatted">
    <w:name w:val="HTML Preformatted"/>
    <w:basedOn w:val="Normal"/>
    <w:link w:val="HTMLPreformattedChar"/>
    <w:uiPriority w:val="99"/>
    <w:unhideWhenUsed/>
    <w:rsid w:val="00C64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4D2A"/>
    <w:rPr>
      <w:rFonts w:ascii="Courier New" w:eastAsia="Times New Roman" w:hAnsi="Courier New" w:cs="Courier New"/>
      <w:sz w:val="20"/>
      <w:szCs w:val="20"/>
      <w:lang w:bidi="he-IL"/>
    </w:rPr>
  </w:style>
  <w:style w:type="character" w:styleId="CommentReference">
    <w:name w:val="annotation reference"/>
    <w:basedOn w:val="DefaultParagraphFont"/>
    <w:uiPriority w:val="99"/>
    <w:semiHidden/>
    <w:unhideWhenUsed/>
    <w:rsid w:val="00C64D2A"/>
    <w:rPr>
      <w:sz w:val="16"/>
      <w:szCs w:val="16"/>
    </w:rPr>
  </w:style>
  <w:style w:type="paragraph" w:styleId="CommentText">
    <w:name w:val="annotation text"/>
    <w:basedOn w:val="Normal"/>
    <w:link w:val="CommentTextChar"/>
    <w:uiPriority w:val="99"/>
    <w:semiHidden/>
    <w:unhideWhenUsed/>
    <w:rsid w:val="00C64D2A"/>
    <w:pPr>
      <w:spacing w:line="240" w:lineRule="auto"/>
    </w:pPr>
    <w:rPr>
      <w:sz w:val="20"/>
      <w:szCs w:val="20"/>
    </w:rPr>
  </w:style>
  <w:style w:type="character" w:customStyle="1" w:styleId="CommentTextChar">
    <w:name w:val="Comment Text Char"/>
    <w:basedOn w:val="DefaultParagraphFont"/>
    <w:link w:val="CommentText"/>
    <w:uiPriority w:val="99"/>
    <w:semiHidden/>
    <w:rsid w:val="00C64D2A"/>
    <w:rPr>
      <w:rFonts w:eastAsiaTheme="minorEastAsia"/>
      <w:sz w:val="20"/>
      <w:szCs w:val="20"/>
      <w:lang w:bidi="he-IL"/>
    </w:rPr>
  </w:style>
  <w:style w:type="paragraph" w:styleId="BalloonText">
    <w:name w:val="Balloon Text"/>
    <w:basedOn w:val="Normal"/>
    <w:link w:val="BalloonTextChar"/>
    <w:uiPriority w:val="99"/>
    <w:semiHidden/>
    <w:unhideWhenUsed/>
    <w:rsid w:val="00C64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D2A"/>
    <w:rPr>
      <w:rFonts w:ascii="Tahoma" w:eastAsiaTheme="minorEastAsia" w:hAnsi="Tahoma" w:cs="Tahoma"/>
      <w:sz w:val="16"/>
      <w:szCs w:val="16"/>
      <w:lang w:bidi="he-IL"/>
    </w:rPr>
  </w:style>
  <w:style w:type="paragraph" w:styleId="Header">
    <w:name w:val="header"/>
    <w:basedOn w:val="Normal"/>
    <w:link w:val="HeaderChar"/>
    <w:uiPriority w:val="99"/>
    <w:unhideWhenUsed/>
    <w:rsid w:val="00174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918"/>
    <w:rPr>
      <w:rFonts w:eastAsiaTheme="minorEastAsia"/>
      <w:lang w:bidi="he-IL"/>
    </w:rPr>
  </w:style>
  <w:style w:type="paragraph" w:styleId="Footer">
    <w:name w:val="footer"/>
    <w:basedOn w:val="Normal"/>
    <w:link w:val="FooterChar"/>
    <w:uiPriority w:val="99"/>
    <w:unhideWhenUsed/>
    <w:rsid w:val="00174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918"/>
    <w:rPr>
      <w:rFonts w:eastAsiaTheme="minorEastAsia"/>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ncbi.nlm.nih.gov/pubmed/26225335" TargetMode="External"/><Relationship Id="rId18" Type="http://schemas.openxmlformats.org/officeDocument/2006/relationships/image" Target="media/image5.wmf"/><Relationship Id="rId26" Type="http://schemas.openxmlformats.org/officeDocument/2006/relationships/control" Target="activeX/activeX4.xml"/><Relationship Id="rId3" Type="http://schemas.openxmlformats.org/officeDocument/2006/relationships/webSettings" Target="webSettings.xml"/><Relationship Id="rId21" Type="http://schemas.openxmlformats.org/officeDocument/2006/relationships/control" Target="activeX/activeX2.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hyperlink" Target="http://www.ncbi.nlm.nih.gov/pubmed/25137319" TargetMode="External"/><Relationship Id="rId25" Type="http://schemas.openxmlformats.org/officeDocument/2006/relationships/image" Target="media/image8.wmf"/><Relationship Id="rId2" Type="http://schemas.openxmlformats.org/officeDocument/2006/relationships/settings" Target="settings.xml"/><Relationship Id="rId16" Type="http://schemas.openxmlformats.org/officeDocument/2006/relationships/hyperlink" Target="http://www.ncbi.nlm.nih.gov/pubmed/24255643" TargetMode="External"/><Relationship Id="rId20" Type="http://schemas.openxmlformats.org/officeDocument/2006/relationships/image" Target="media/image6.wmf"/><Relationship Id="rId29" Type="http://schemas.openxmlformats.org/officeDocument/2006/relationships/hyperlink" Target="http://www.ncbi.nlm.nih.gov/pubmed/12114784"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control" Target="activeX/activeX3.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ncbi.nlm.nih.gov/pubmed/9438009" TargetMode="External"/><Relationship Id="rId23" Type="http://schemas.openxmlformats.org/officeDocument/2006/relationships/image" Target="media/image7.wmf"/><Relationship Id="rId28" Type="http://schemas.openxmlformats.org/officeDocument/2006/relationships/hyperlink" Target="http://www.ncbi.nlm.nih.gov/pubmed/2504065" TargetMode="External"/><Relationship Id="rId10" Type="http://schemas.microsoft.com/office/2016/09/relationships/commentsIds" Target="commentsIds.xml"/><Relationship Id="rId19" Type="http://schemas.openxmlformats.org/officeDocument/2006/relationships/control" Target="activeX/activeX1.xml"/><Relationship Id="rId31" Type="http://schemas.openxmlformats.org/officeDocument/2006/relationships/fontTable" Target="fontTable.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hyperlink" Target="http://www.ncbi.nlm.nih.gov/pubmed/21103239" TargetMode="External"/><Relationship Id="rId22" Type="http://schemas.openxmlformats.org/officeDocument/2006/relationships/hyperlink" Target="http://www.ncbi.nlm.nih.gov/pubmed/3708270" TargetMode="External"/><Relationship Id="rId27" Type="http://schemas.openxmlformats.org/officeDocument/2006/relationships/hyperlink" Target="http://www.ncbi.nlm.nih.gov.assafh-ez.medlcp.tau.ac.il/pubmed/20076912" TargetMode="External"/><Relationship Id="rId30" Type="http://schemas.openxmlformats.org/officeDocument/2006/relationships/hyperlink" Target="http://www.ncbi.nlm.nih.gov/pubmed/26225335"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midhatdana</dc:creator>
  <cp:lastModifiedBy>m t</cp:lastModifiedBy>
  <cp:revision>14</cp:revision>
  <dcterms:created xsi:type="dcterms:W3CDTF">2018-07-23T06:46:00Z</dcterms:created>
  <dcterms:modified xsi:type="dcterms:W3CDTF">2018-07-23T07:02:00Z</dcterms:modified>
</cp:coreProperties>
</file>