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CD1" w:rsidRPr="00FA3CD1" w:rsidRDefault="00FA3CD1" w:rsidP="00FA3CD1">
      <w:pPr>
        <w:rPr>
          <w:b/>
          <w:bCs/>
        </w:rPr>
      </w:pPr>
      <w:bookmarkStart w:id="0" w:name="_GoBack"/>
      <w:r w:rsidRPr="00FA3CD1">
        <w:rPr>
          <w:b/>
          <w:bCs/>
        </w:rPr>
        <w:t>Pattern of calorie and macronutrient intake after bariatric</w:t>
      </w:r>
      <w:r w:rsidRPr="00FA3CD1">
        <w:rPr>
          <w:b/>
          <w:bCs/>
        </w:rPr>
        <w:t xml:space="preserve"> </w:t>
      </w:r>
      <w:r w:rsidRPr="00FA3CD1">
        <w:rPr>
          <w:b/>
          <w:bCs/>
        </w:rPr>
        <w:t>surgery in patient with obesity</w:t>
      </w:r>
      <w:bookmarkEnd w:id="0"/>
      <w:r w:rsidRPr="00FA3CD1">
        <w:rPr>
          <w:b/>
          <w:bCs/>
        </w:rPr>
        <w:t>: A clinical trial</w:t>
      </w:r>
    </w:p>
    <w:p w:rsidR="00FA3CD1" w:rsidRDefault="00FA3CD1" w:rsidP="00FA3CD1">
      <w:proofErr w:type="spellStart"/>
      <w:r>
        <w:t>Alireza</w:t>
      </w:r>
      <w:proofErr w:type="spellEnd"/>
      <w:r>
        <w:t xml:space="preserve"> Hassannejad</w:t>
      </w:r>
      <w:r w:rsidRPr="00FA3CD1">
        <w:rPr>
          <w:vertAlign w:val="superscript"/>
        </w:rPr>
        <w:t>1,4</w:t>
      </w:r>
      <w:r>
        <w:t xml:space="preserve">, </w:t>
      </w:r>
      <w:proofErr w:type="spellStart"/>
      <w:r>
        <w:t>Alireza</w:t>
      </w:r>
      <w:proofErr w:type="spellEnd"/>
      <w:r>
        <w:t xml:space="preserve"> Khalaj</w:t>
      </w:r>
      <w:r w:rsidRPr="00FA3CD1">
        <w:rPr>
          <w:vertAlign w:val="superscript"/>
        </w:rPr>
        <w:t>2</w:t>
      </w:r>
      <w:r>
        <w:t xml:space="preserve">, </w:t>
      </w:r>
      <w:proofErr w:type="spellStart"/>
      <w:r>
        <w:t>Pardis</w:t>
      </w:r>
      <w:proofErr w:type="spellEnd"/>
      <w:r>
        <w:t xml:space="preserve"> Noormohammadpour</w:t>
      </w:r>
      <w:r w:rsidRPr="00FA3CD1">
        <w:rPr>
          <w:vertAlign w:val="superscript"/>
        </w:rPr>
        <w:t>1</w:t>
      </w:r>
      <w:r>
        <w:t xml:space="preserve">, </w:t>
      </w:r>
      <w:proofErr w:type="spellStart"/>
      <w:r>
        <w:t>Mastaneh</w:t>
      </w:r>
      <w:proofErr w:type="spellEnd"/>
      <w:r>
        <w:t xml:space="preserve"> </w:t>
      </w:r>
      <w:proofErr w:type="spellStart"/>
      <w:r>
        <w:t>Rajabian</w:t>
      </w:r>
      <w:proofErr w:type="spellEnd"/>
      <w:r>
        <w:t xml:space="preserve"> Tabesh</w:t>
      </w:r>
      <w:r w:rsidRPr="00FA3CD1">
        <w:rPr>
          <w:vertAlign w:val="superscript"/>
        </w:rPr>
        <w:t>1</w:t>
      </w:r>
    </w:p>
    <w:p w:rsidR="00FA3CD1" w:rsidRDefault="00FA3CD1" w:rsidP="00FA3CD1">
      <w:r>
        <w:t xml:space="preserve"> and Zahra Alizadeh</w:t>
      </w:r>
      <w:r w:rsidRPr="00FA3CD1">
        <w:rPr>
          <w:vertAlign w:val="superscript"/>
        </w:rPr>
        <w:t>1,3*</w:t>
      </w:r>
    </w:p>
    <w:p w:rsidR="00FA3CD1" w:rsidRDefault="00FA3CD1" w:rsidP="00FA3CD1">
      <w:r>
        <w:t>1</w:t>
      </w:r>
      <w:r>
        <w:t xml:space="preserve"> </w:t>
      </w:r>
      <w:r>
        <w:t>Sports Medicine Research Center, Tehran university of Medical Sciences, Iran</w:t>
      </w:r>
    </w:p>
    <w:p w:rsidR="00FA3CD1" w:rsidRDefault="00FA3CD1" w:rsidP="00FA3CD1">
      <w:r>
        <w:t>2</w:t>
      </w:r>
      <w:r>
        <w:t xml:space="preserve"> </w:t>
      </w:r>
      <w:r>
        <w:t xml:space="preserve">Obesity Treatment Center, Department of Surgery, </w:t>
      </w:r>
      <w:proofErr w:type="spellStart"/>
      <w:r>
        <w:t>Shahed</w:t>
      </w:r>
      <w:proofErr w:type="spellEnd"/>
      <w:r>
        <w:t xml:space="preserve"> University, Islamic Republic of Iran</w:t>
      </w:r>
    </w:p>
    <w:p w:rsidR="00FA3CD1" w:rsidRDefault="00FA3CD1" w:rsidP="00FA3CD1">
      <w:r>
        <w:t>3</w:t>
      </w:r>
      <w:r>
        <w:t xml:space="preserve"> </w:t>
      </w:r>
      <w:r>
        <w:t>Department of Sports and Exercise Medicine, Tehran University of Medical Sciences, Iran</w:t>
      </w:r>
    </w:p>
    <w:p w:rsidR="00FA3CD1" w:rsidRDefault="00FA3CD1" w:rsidP="00FA3CD1">
      <w:r>
        <w:t>4</w:t>
      </w:r>
      <w:r>
        <w:t xml:space="preserve"> </w:t>
      </w:r>
      <w:r>
        <w:t>Department of Orthopedics, Kerman University of Medical Sciences, Iran</w:t>
      </w:r>
    </w:p>
    <w:p w:rsidR="00FA3CD1" w:rsidRDefault="00FA3CD1" w:rsidP="00FA3CD1"/>
    <w:p w:rsidR="00FA3CD1" w:rsidRPr="00FA3CD1" w:rsidRDefault="00FA3CD1" w:rsidP="00FA3CD1">
      <w:pPr>
        <w:rPr>
          <w:b/>
          <w:bCs/>
        </w:rPr>
      </w:pPr>
      <w:r w:rsidRPr="00FA3CD1">
        <w:rPr>
          <w:b/>
          <w:bCs/>
        </w:rPr>
        <w:t>Abstract</w:t>
      </w:r>
    </w:p>
    <w:p w:rsidR="00FA3CD1" w:rsidRDefault="00FA3CD1" w:rsidP="00FA3CD1">
      <w:pPr>
        <w:jc w:val="both"/>
      </w:pPr>
      <w:r>
        <w:t>Background: There are limited data about daily energy and macronutrient intake after LSG and RNY in the patients with obesity.</w:t>
      </w:r>
    </w:p>
    <w:p w:rsidR="00FA3CD1" w:rsidRDefault="00FA3CD1" w:rsidP="00FA3CD1">
      <w:pPr>
        <w:jc w:val="both"/>
      </w:pPr>
      <w:r>
        <w:t>Methods: This prospective clinical trial was conducted on sixty patients with obesity (BMI ≥ 35) who had LSG (n = 33) or RNY (n = 27) (2015–2016). Anthropometric</w:t>
      </w:r>
      <w:r>
        <w:t xml:space="preserve"> </w:t>
      </w:r>
      <w:r>
        <w:t>and demographic indices (weight, height, body mass index, sex, and age) were recorded. Two 24-h food intake were completed before and 3 months after surgery.</w:t>
      </w:r>
    </w:p>
    <w:p w:rsidR="00FA3CD1" w:rsidRDefault="00FA3CD1" w:rsidP="00FA3CD1">
      <w:pPr>
        <w:jc w:val="both"/>
      </w:pPr>
      <w:r>
        <w:t>Results: Mean total energy and macronutrient intake decreased three months after surgery in both groups (P &lt; 0.05); without significant differences between two</w:t>
      </w:r>
      <w:r>
        <w:t xml:space="preserve"> </w:t>
      </w:r>
      <w:r>
        <w:t>groups. The mean energy, protein, fat and carbohydrate intakes were 578.8 Kcal/day, 26.6, 24.5 and 65.4 g/day respectively, three months after surgery. According to</w:t>
      </w:r>
      <w:r>
        <w:t xml:space="preserve"> </w:t>
      </w:r>
      <w:r>
        <w:t>the type of surgery, no significant differences were seen in energy, protein, and fat intake during three months after surgery (p &gt; 0.05).</w:t>
      </w:r>
    </w:p>
    <w:p w:rsidR="00303A4C" w:rsidRDefault="00FA3CD1" w:rsidP="00FA3CD1">
      <w:pPr>
        <w:jc w:val="both"/>
      </w:pPr>
      <w:r>
        <w:t>Conclusion: The data suggest that amount of calorie and macronutrient intakes are unrelated to the type of surgery and daily protein intake is inadequate in RNY</w:t>
      </w:r>
      <w:r>
        <w:t xml:space="preserve"> </w:t>
      </w:r>
      <w:r>
        <w:t>and SLG groups.</w:t>
      </w:r>
    </w:p>
    <w:sectPr w:rsidR="00303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9CC"/>
    <w:rsid w:val="0009323C"/>
    <w:rsid w:val="00303A4C"/>
    <w:rsid w:val="009049CC"/>
    <w:rsid w:val="00FA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B286E"/>
  <w15:chartTrackingRefBased/>
  <w15:docId w15:val="{6B8D1F01-4238-4B85-8D83-E1925F54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Tabesh</dc:creator>
  <cp:keywords/>
  <dc:description/>
  <cp:lastModifiedBy>Tabesh</cp:lastModifiedBy>
  <cp:revision>3</cp:revision>
  <dcterms:created xsi:type="dcterms:W3CDTF">2018-12-18T06:08:00Z</dcterms:created>
  <dcterms:modified xsi:type="dcterms:W3CDTF">2018-12-18T06:12:00Z</dcterms:modified>
</cp:coreProperties>
</file>