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C8B" w:rsidRPr="00460DA1" w:rsidRDefault="00257C8B" w:rsidP="00460DA1">
      <w:pPr>
        <w:ind w:left="90"/>
        <w:rPr>
          <w:rFonts w:ascii="Minion Pro" w:hAnsi="Minion Pro" w:cstheme="majorBidi"/>
          <w:color w:val="0070C0"/>
          <w:sz w:val="36"/>
          <w:szCs w:val="36"/>
        </w:rPr>
      </w:pPr>
      <w:r w:rsidRPr="00460DA1">
        <w:rPr>
          <w:rStyle w:val="hps"/>
          <w:rFonts w:ascii="Minion Pro" w:hAnsi="Minion Pro" w:cstheme="majorBidi"/>
          <w:color w:val="0070C0"/>
          <w:sz w:val="36"/>
          <w:szCs w:val="36"/>
        </w:rPr>
        <w:t xml:space="preserve">Identification and </w:t>
      </w:r>
      <w:r w:rsidRPr="00460DA1">
        <w:rPr>
          <w:rFonts w:ascii="Minion Pro" w:hAnsi="Minion Pro" w:cstheme="majorBidi"/>
          <w:color w:val="0070C0"/>
          <w:sz w:val="36"/>
          <w:szCs w:val="36"/>
        </w:rPr>
        <w:t>differentiation</w:t>
      </w:r>
      <w:r w:rsidRPr="00460DA1">
        <w:rPr>
          <w:rStyle w:val="hps"/>
          <w:rFonts w:ascii="Minion Pro" w:hAnsi="Minion Pro" w:cstheme="majorBidi"/>
          <w:color w:val="0070C0"/>
          <w:sz w:val="36"/>
          <w:szCs w:val="36"/>
        </w:rPr>
        <w:t xml:space="preserve"> </w:t>
      </w:r>
      <w:r w:rsidRPr="00460DA1">
        <w:rPr>
          <w:rFonts w:ascii="Minion Pro" w:hAnsi="Minion Pro" w:cstheme="majorBidi"/>
          <w:color w:val="0070C0"/>
          <w:sz w:val="36"/>
          <w:szCs w:val="36"/>
        </w:rPr>
        <w:t xml:space="preserve">among chicken’s, duck’s, quail’s, rabbit’s and turkey's meat using </w:t>
      </w:r>
      <w:r w:rsidR="00460DA1" w:rsidRPr="00A67C1D">
        <w:rPr>
          <w:rFonts w:ascii="Minion Pro" w:hAnsi="Minion Pro" w:cstheme="majorBidi"/>
          <w:i/>
          <w:iCs/>
          <w:color w:val="0070C0"/>
          <w:sz w:val="36"/>
          <w:szCs w:val="36"/>
        </w:rPr>
        <w:t>Cyt</w:t>
      </w:r>
      <w:r w:rsidR="00460DA1" w:rsidRPr="00460DA1">
        <w:rPr>
          <w:rFonts w:ascii="Minion Pro" w:hAnsi="Minion Pro" w:cstheme="majorBidi"/>
          <w:i/>
          <w:iCs/>
          <w:color w:val="0070C0"/>
          <w:sz w:val="36"/>
          <w:szCs w:val="36"/>
        </w:rPr>
        <w:t>b</w:t>
      </w:r>
      <w:r w:rsidR="00460DA1">
        <w:rPr>
          <w:rFonts w:ascii="Minion Pro" w:hAnsi="Minion Pro" w:cstheme="majorBidi"/>
          <w:color w:val="0070C0"/>
          <w:sz w:val="36"/>
          <w:szCs w:val="36"/>
        </w:rPr>
        <w:t>-</w:t>
      </w:r>
      <w:r w:rsidRPr="00460DA1">
        <w:rPr>
          <w:rFonts w:ascii="Minion Pro" w:hAnsi="Minion Pro" w:cstheme="majorBidi"/>
          <w:color w:val="0070C0"/>
          <w:sz w:val="36"/>
          <w:szCs w:val="36"/>
        </w:rPr>
        <w:t>PCR-RFLP technique</w:t>
      </w:r>
    </w:p>
    <w:p w:rsidR="00257C8B" w:rsidRPr="00A53CC9" w:rsidRDefault="00257C8B" w:rsidP="00257C8B">
      <w:pPr>
        <w:rPr>
          <w:rFonts w:asciiTheme="majorBidi" w:hAnsiTheme="majorBidi" w:cstheme="majorBidi"/>
          <w:sz w:val="24"/>
          <w:szCs w:val="24"/>
        </w:rPr>
      </w:pPr>
    </w:p>
    <w:p w:rsidR="005973B9" w:rsidRDefault="00257C8B" w:rsidP="00460DA1">
      <w:pPr>
        <w:autoSpaceDE w:val="0"/>
        <w:autoSpaceDN w:val="0"/>
        <w:adjustRightInd w:val="0"/>
        <w:ind w:firstLine="90"/>
        <w:rPr>
          <w:rFonts w:ascii="Arial"/>
        </w:rPr>
      </w:pPr>
      <w:r w:rsidRPr="00460DA1">
        <w:rPr>
          <w:rFonts w:asciiTheme="minorBidi" w:hAnsiTheme="minorBidi" w:cstheme="minorBidi"/>
          <w:sz w:val="18"/>
          <w:szCs w:val="18"/>
        </w:rPr>
        <w:t>Salah M Abdel-Rahman, PhD, SRTA-City, Egypt</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rPr>
          <w:color w:val="BF5A14"/>
        </w:rPr>
      </w:pPr>
      <w:r>
        <w:rPr>
          <w:color w:val="BF5A14"/>
        </w:rPr>
        <w:lastRenderedPageBreak/>
        <w:t>Abstract</w:t>
      </w:r>
    </w:p>
    <w:p w:rsidR="00460DA1" w:rsidRDefault="00460DA1">
      <w:pPr>
        <w:pStyle w:val="Heading3"/>
        <w:spacing w:before="147"/>
        <w:jc w:val="both"/>
      </w:pPr>
    </w:p>
    <w:p w:rsidR="00460DA1" w:rsidRPr="00895A22" w:rsidRDefault="00460DA1" w:rsidP="00460DA1">
      <w:pPr>
        <w:autoSpaceDE w:val="0"/>
        <w:autoSpaceDN w:val="0"/>
        <w:adjustRightInd w:val="0"/>
        <w:ind w:left="90"/>
        <w:jc w:val="both"/>
        <w:rPr>
          <w:rFonts w:cs="Times New Roman"/>
          <w:sz w:val="18"/>
          <w:szCs w:val="18"/>
        </w:rPr>
      </w:pPr>
      <w:r w:rsidRPr="00895A22">
        <w:rPr>
          <w:rFonts w:cs="Times New Roman"/>
          <w:sz w:val="18"/>
          <w:szCs w:val="18"/>
        </w:rPr>
        <w:t>PCR–RFLP technique was developed for identification and differentiation among chicken’s, duck’s, quail’s, rabbit’s and turkey's meat. DNA from small amount of muscles (0.05 g) was extracted and a region of mitochondrial DNA (cytochrome-</w:t>
      </w:r>
      <w:r w:rsidRPr="00895A22">
        <w:rPr>
          <w:rFonts w:cs="Times New Roman"/>
          <w:i/>
          <w:iCs/>
          <w:sz w:val="18"/>
          <w:szCs w:val="18"/>
        </w:rPr>
        <w:t xml:space="preserve">b </w:t>
      </w:r>
      <w:r w:rsidRPr="00895A22">
        <w:rPr>
          <w:rFonts w:cs="Times New Roman"/>
          <w:sz w:val="18"/>
          <w:szCs w:val="18"/>
        </w:rPr>
        <w:t>gene) in chicken, duck, quail, rabbit and turkey was amplified by PCR. Fragment length of the PCR product was 371 bp in chicken, 374 bp in duck and rabbit and 377 bp in both quail and turkey. Six nucleotides different makes it difficult to differentiate among these five species-specific meat. For differentiation, three different restriction enzymes (</w:t>
      </w:r>
      <w:r w:rsidRPr="00895A22">
        <w:rPr>
          <w:rFonts w:cs="Times New Roman"/>
          <w:i/>
          <w:iCs/>
          <w:sz w:val="18"/>
          <w:szCs w:val="18"/>
        </w:rPr>
        <w:t>Dde</w:t>
      </w:r>
      <w:r w:rsidRPr="00895A22">
        <w:rPr>
          <w:rFonts w:cs="Times New Roman"/>
          <w:sz w:val="18"/>
          <w:szCs w:val="18"/>
        </w:rPr>
        <w:t xml:space="preserve">I, </w:t>
      </w:r>
      <w:r w:rsidRPr="00895A22">
        <w:rPr>
          <w:rFonts w:cs="Times New Roman"/>
          <w:i/>
          <w:iCs/>
          <w:sz w:val="18"/>
          <w:szCs w:val="18"/>
        </w:rPr>
        <w:t>Msp</w:t>
      </w:r>
      <w:r w:rsidRPr="00895A22">
        <w:rPr>
          <w:rFonts w:cs="Times New Roman"/>
          <w:sz w:val="18"/>
          <w:szCs w:val="18"/>
        </w:rPr>
        <w:t xml:space="preserve">I and </w:t>
      </w:r>
      <w:r w:rsidRPr="00895A22">
        <w:rPr>
          <w:rFonts w:cs="Times New Roman"/>
          <w:i/>
          <w:iCs/>
          <w:sz w:val="18"/>
          <w:szCs w:val="18"/>
        </w:rPr>
        <w:t>Taq</w:t>
      </w:r>
      <w:r w:rsidRPr="00895A22">
        <w:rPr>
          <w:rFonts w:cs="Times New Roman"/>
          <w:sz w:val="18"/>
          <w:szCs w:val="18"/>
        </w:rPr>
        <w:t xml:space="preserve">I) were used to digest the PCR products. Restriction analysis showed difference among chicken’s, duck’s, quail’s, rabbit’s and turkey's meat. Where, </w:t>
      </w:r>
      <w:r w:rsidRPr="00895A22">
        <w:rPr>
          <w:rFonts w:cs="Times New Roman"/>
          <w:i/>
          <w:iCs/>
          <w:sz w:val="18"/>
          <w:szCs w:val="18"/>
        </w:rPr>
        <w:t>Dde</w:t>
      </w:r>
      <w:r w:rsidRPr="00895A22">
        <w:rPr>
          <w:rFonts w:cs="Times New Roman"/>
          <w:sz w:val="18"/>
          <w:szCs w:val="18"/>
        </w:rPr>
        <w:t xml:space="preserve">I yielded two fragments (291 and 83 bp) only in rabbit’s meat. </w:t>
      </w:r>
      <w:r w:rsidRPr="00895A22">
        <w:rPr>
          <w:rFonts w:cs="Times New Roman"/>
          <w:i/>
          <w:iCs/>
          <w:sz w:val="18"/>
          <w:szCs w:val="18"/>
        </w:rPr>
        <w:t>Msp</w:t>
      </w:r>
      <w:r w:rsidRPr="00895A22">
        <w:rPr>
          <w:rFonts w:cs="Times New Roman"/>
          <w:sz w:val="18"/>
          <w:szCs w:val="18"/>
        </w:rPr>
        <w:t xml:space="preserve">I yielded three fragments (221, 85 and 65 bp) in chicken’s meat and two fragments (290 and 87 bp) in both quail’s and turkey's meat. </w:t>
      </w:r>
      <w:r w:rsidRPr="00895A22">
        <w:rPr>
          <w:rFonts w:cs="Times New Roman"/>
          <w:i/>
          <w:iCs/>
          <w:sz w:val="18"/>
          <w:szCs w:val="18"/>
        </w:rPr>
        <w:t>Taq</w:t>
      </w:r>
      <w:r w:rsidRPr="00895A22">
        <w:rPr>
          <w:rFonts w:cs="Times New Roman"/>
          <w:sz w:val="18"/>
          <w:szCs w:val="18"/>
        </w:rPr>
        <w:t>I yielded three fragments (146, 134 and 94 bp) in duck’s meat and two fragments (226 and 151 bp) in quail’s meat. The use of Cyt</w:t>
      </w:r>
      <w:r w:rsidRPr="00895A22">
        <w:rPr>
          <w:rFonts w:cs="Times New Roman"/>
          <w:i/>
          <w:iCs/>
          <w:sz w:val="18"/>
          <w:szCs w:val="18"/>
        </w:rPr>
        <w:t>b</w:t>
      </w:r>
      <w:r w:rsidRPr="00895A22">
        <w:rPr>
          <w:rFonts w:cs="Times New Roman"/>
          <w:sz w:val="18"/>
          <w:szCs w:val="18"/>
        </w:rPr>
        <w:t>-PCR-RFLP assay allowed a direct and fast authentication and differentiation among chicken’s, duck’s, quail’s, rabbit’s and turkey's meat</w:t>
      </w:r>
      <w:r w:rsidR="008E54C5">
        <w:rPr>
          <w:rFonts w:cs="Times New Roman"/>
          <w:sz w:val="18"/>
          <w:szCs w:val="18"/>
        </w:rPr>
        <w:t xml:space="preserve"> (Fig. 1)</w:t>
      </w:r>
      <w:r w:rsidRPr="00895A22">
        <w:rPr>
          <w:rFonts w:cs="Times New Roman"/>
          <w:sz w:val="18"/>
          <w:szCs w:val="18"/>
        </w:rPr>
        <w:t>.</w:t>
      </w:r>
    </w:p>
    <w:p w:rsidR="00460DA1" w:rsidRDefault="00460DA1">
      <w:pPr>
        <w:pStyle w:val="BodyText"/>
        <w:spacing w:before="90" w:line="280" w:lineRule="auto"/>
        <w:ind w:left="100"/>
        <w:jc w:val="both"/>
      </w:pPr>
    </w:p>
    <w:p w:rsidR="00AE3E37" w:rsidRDefault="00460DA1">
      <w:pPr>
        <w:pStyle w:val="BodyText"/>
        <w:spacing w:before="90" w:line="280" w:lineRule="auto"/>
        <w:ind w:left="100"/>
        <w:jc w:val="both"/>
      </w:pPr>
      <w:r>
        <w:t xml:space="preserve"> </w:t>
      </w:r>
    </w:p>
    <w:p w:rsidR="00AE3E37" w:rsidRDefault="00A9710C">
      <w:pPr>
        <w:pStyle w:val="Heading3"/>
        <w:spacing w:before="74"/>
      </w:pPr>
      <w:r>
        <w:rPr>
          <w:b w:val="0"/>
        </w:rPr>
        <w:br w:type="column"/>
      </w:r>
      <w:r>
        <w:rPr>
          <w:color w:val="BF5A14"/>
        </w:rPr>
        <w:lastRenderedPageBreak/>
        <w:t>Image</w:t>
      </w:r>
    </w:p>
    <w:p w:rsidR="00D51163" w:rsidRDefault="00D51163" w:rsidP="00D51163">
      <w:pPr>
        <w:pStyle w:val="BodyText"/>
        <w:spacing w:before="2"/>
        <w:rPr>
          <w:rFonts w:ascii="Arial"/>
          <w:b/>
          <w:sz w:val="16"/>
        </w:rPr>
      </w:pPr>
    </w:p>
    <w:p w:rsidR="00D51163" w:rsidRDefault="00D51163" w:rsidP="00D51163">
      <w:pPr>
        <w:pStyle w:val="BodyText"/>
        <w:spacing w:before="2"/>
        <w:rPr>
          <w:rFonts w:ascii="Arial"/>
          <w:b/>
          <w:sz w:val="16"/>
        </w:rPr>
      </w:pPr>
    </w:p>
    <w:p w:rsidR="00AE3E37" w:rsidRDefault="00D51163" w:rsidP="00D51163">
      <w:pPr>
        <w:pStyle w:val="BodyText"/>
        <w:spacing w:before="2"/>
        <w:rPr>
          <w:rFonts w:ascii="Arial"/>
          <w:b/>
          <w:sz w:val="16"/>
        </w:rPr>
      </w:pPr>
      <w:r w:rsidRPr="00D51163">
        <w:rPr>
          <w:rFonts w:ascii="Arial"/>
          <w:b/>
          <w:noProof/>
          <w:sz w:val="16"/>
        </w:rPr>
        <w:drawing>
          <wp:inline distT="0" distB="0" distL="0" distR="0">
            <wp:extent cx="3386066" cy="1521725"/>
            <wp:effectExtent l="19050" t="0" r="4834" b="0"/>
            <wp:docPr id="32" name="Picture 32"/>
            <wp:cNvGraphicFramePr/>
            <a:graphic xmlns:a="http://schemas.openxmlformats.org/drawingml/2006/main">
              <a:graphicData uri="http://schemas.openxmlformats.org/drawingml/2006/picture">
                <pic:pic xmlns:pic="http://schemas.openxmlformats.org/drawingml/2006/picture">
                  <pic:nvPicPr>
                    <pic:cNvPr id="1035" name="Picture 11"/>
                    <pic:cNvPicPr>
                      <a:picLocks noChangeAspect="1" noChangeArrowheads="1"/>
                    </pic:cNvPicPr>
                  </pic:nvPicPr>
                  <pic:blipFill>
                    <a:blip r:embed="rId8"/>
                    <a:srcRect b="39914"/>
                    <a:stretch>
                      <a:fillRect/>
                    </a:stretch>
                  </pic:blipFill>
                  <pic:spPr bwMode="auto">
                    <a:xfrm>
                      <a:off x="0" y="0"/>
                      <a:ext cx="3389664" cy="1523342"/>
                    </a:xfrm>
                    <a:prstGeom prst="rect">
                      <a:avLst/>
                    </a:prstGeom>
                    <a:noFill/>
                    <a:ln w="9525">
                      <a:noFill/>
                      <a:miter lim="800000"/>
                      <a:headEnd/>
                      <a:tailEnd/>
                    </a:ln>
                    <a:effectLst/>
                  </pic:spPr>
                </pic:pic>
              </a:graphicData>
            </a:graphic>
          </wp:inline>
        </w:drawing>
      </w:r>
    </w:p>
    <w:p w:rsidR="00D51163" w:rsidRDefault="00D51163"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w:t>
      </w:r>
    </w:p>
    <w:p w:rsidR="00D51163" w:rsidRDefault="00D51163" w:rsidP="003902EC">
      <w:pPr>
        <w:ind w:left="142" w:hanging="142"/>
        <w:jc w:val="both"/>
        <w:rPr>
          <w:rFonts w:asciiTheme="minorHAnsi" w:hAnsiTheme="minorHAnsi" w:cstheme="minorHAnsi"/>
          <w:sz w:val="18"/>
          <w:szCs w:val="18"/>
        </w:rPr>
      </w:pPr>
    </w:p>
    <w:p w:rsidR="003902EC" w:rsidRPr="00170527" w:rsidRDefault="003902EC" w:rsidP="003902EC">
      <w:pPr>
        <w:ind w:left="142" w:hanging="142"/>
        <w:jc w:val="both"/>
        <w:rPr>
          <w:rFonts w:asciiTheme="minorHAnsi" w:hAnsiTheme="minorHAnsi" w:cstheme="minorHAnsi"/>
          <w:sz w:val="18"/>
          <w:szCs w:val="18"/>
        </w:rPr>
      </w:pPr>
      <w:r w:rsidRPr="00170527">
        <w:rPr>
          <w:rFonts w:asciiTheme="minorHAnsi" w:hAnsiTheme="minorHAnsi" w:cstheme="minorHAnsi"/>
          <w:sz w:val="18"/>
          <w:szCs w:val="18"/>
        </w:rPr>
        <w:t>1. Abdel-Rahman</w:t>
      </w:r>
      <w:r>
        <w:rPr>
          <w:rFonts w:cstheme="minorHAnsi"/>
          <w:sz w:val="18"/>
          <w:szCs w:val="18"/>
        </w:rPr>
        <w:t xml:space="preserve"> S, </w:t>
      </w:r>
      <w:r w:rsidRPr="00170527">
        <w:rPr>
          <w:rFonts w:asciiTheme="minorHAnsi" w:hAnsiTheme="minorHAnsi" w:cstheme="minorHAnsi"/>
          <w:sz w:val="18"/>
          <w:szCs w:val="18"/>
        </w:rPr>
        <w:t>Mustafa</w:t>
      </w:r>
      <w:r>
        <w:rPr>
          <w:rFonts w:cstheme="minorHAnsi"/>
          <w:sz w:val="18"/>
          <w:szCs w:val="18"/>
        </w:rPr>
        <w:t xml:space="preserve"> Y, </w:t>
      </w:r>
      <w:r w:rsidRPr="00170527">
        <w:rPr>
          <w:rFonts w:asciiTheme="minorHAnsi" w:hAnsiTheme="minorHAnsi" w:cstheme="minorHAnsi"/>
          <w:sz w:val="18"/>
          <w:szCs w:val="18"/>
        </w:rPr>
        <w:t>Abd Errasool</w:t>
      </w:r>
      <w:r>
        <w:rPr>
          <w:rFonts w:cstheme="minorHAnsi"/>
          <w:sz w:val="18"/>
          <w:szCs w:val="18"/>
        </w:rPr>
        <w:t xml:space="preserve"> H, Heikal H, Elmaghraby A (2019)</w:t>
      </w:r>
      <w:r w:rsidRPr="00170527">
        <w:rPr>
          <w:rFonts w:asciiTheme="minorHAnsi" w:hAnsiTheme="minorHAnsi" w:cstheme="minorHAnsi"/>
          <w:sz w:val="18"/>
          <w:szCs w:val="18"/>
        </w:rPr>
        <w:t xml:space="preserve"> FSHR (exon 10) gene polymorphisms and its association with fertility trait in Egyptian Ossimi sheep. Biotechnology in Animal Husbandry</w:t>
      </w:r>
      <w:r>
        <w:rPr>
          <w:rFonts w:cstheme="minorHAnsi"/>
          <w:sz w:val="18"/>
          <w:szCs w:val="18"/>
        </w:rPr>
        <w:t xml:space="preserve"> 35</w:t>
      </w:r>
      <w:r w:rsidRPr="00170527">
        <w:rPr>
          <w:rFonts w:asciiTheme="minorHAnsi" w:hAnsiTheme="minorHAnsi" w:cstheme="minorHAnsi"/>
          <w:sz w:val="18"/>
          <w:szCs w:val="18"/>
        </w:rPr>
        <w:t xml:space="preserve">: 127-140. </w:t>
      </w:r>
    </w:p>
    <w:p w:rsidR="003902EC" w:rsidRPr="00170527" w:rsidRDefault="003902EC" w:rsidP="003902EC">
      <w:pPr>
        <w:ind w:left="142" w:hanging="142"/>
        <w:jc w:val="both"/>
        <w:rPr>
          <w:rFonts w:asciiTheme="minorHAnsi" w:hAnsiTheme="minorHAnsi" w:cstheme="minorHAnsi"/>
          <w:sz w:val="18"/>
          <w:szCs w:val="18"/>
        </w:rPr>
      </w:pPr>
      <w:r w:rsidRPr="00170527">
        <w:rPr>
          <w:rFonts w:asciiTheme="minorHAnsi" w:hAnsiTheme="minorHAnsi" w:cstheme="minorHAnsi"/>
          <w:sz w:val="18"/>
          <w:szCs w:val="18"/>
        </w:rPr>
        <w:t>2.</w:t>
      </w:r>
      <w:r>
        <w:rPr>
          <w:rFonts w:cstheme="minorHAnsi"/>
          <w:sz w:val="18"/>
          <w:szCs w:val="18"/>
        </w:rPr>
        <w:t xml:space="preserve"> </w:t>
      </w:r>
      <w:r w:rsidRPr="00170527">
        <w:rPr>
          <w:rFonts w:asciiTheme="minorHAnsi" w:hAnsiTheme="minorHAnsi" w:cstheme="minorHAnsi"/>
          <w:sz w:val="18"/>
          <w:szCs w:val="18"/>
        </w:rPr>
        <w:t>Ahmed</w:t>
      </w:r>
      <w:r>
        <w:rPr>
          <w:rFonts w:cstheme="minorHAnsi"/>
          <w:sz w:val="18"/>
          <w:szCs w:val="18"/>
        </w:rPr>
        <w:t xml:space="preserve"> SS</w:t>
      </w:r>
      <w:r w:rsidRPr="00170527">
        <w:rPr>
          <w:rFonts w:asciiTheme="minorHAnsi" w:hAnsiTheme="minorHAnsi" w:cstheme="minorHAnsi"/>
          <w:sz w:val="18"/>
          <w:szCs w:val="18"/>
        </w:rPr>
        <w:t>, Abdel-Rahman</w:t>
      </w:r>
      <w:r>
        <w:rPr>
          <w:rFonts w:cstheme="minorHAnsi"/>
          <w:sz w:val="18"/>
          <w:szCs w:val="18"/>
        </w:rPr>
        <w:t xml:space="preserve"> SM, </w:t>
      </w:r>
      <w:r w:rsidRPr="00170527">
        <w:rPr>
          <w:rFonts w:asciiTheme="minorHAnsi" w:hAnsiTheme="minorHAnsi" w:cstheme="minorHAnsi"/>
          <w:sz w:val="18"/>
          <w:szCs w:val="18"/>
        </w:rPr>
        <w:t>Grobler</w:t>
      </w:r>
      <w:r>
        <w:rPr>
          <w:rFonts w:cstheme="minorHAnsi"/>
          <w:sz w:val="18"/>
          <w:szCs w:val="18"/>
        </w:rPr>
        <w:t xml:space="preserve"> PJ,  </w:t>
      </w:r>
      <w:r w:rsidRPr="00170527">
        <w:rPr>
          <w:rFonts w:asciiTheme="minorHAnsi" w:hAnsiTheme="minorHAnsi" w:cstheme="minorHAnsi"/>
          <w:sz w:val="18"/>
          <w:szCs w:val="18"/>
        </w:rPr>
        <w:t>Kotzé</w:t>
      </w:r>
      <w:r>
        <w:rPr>
          <w:rFonts w:cstheme="minorHAnsi"/>
          <w:sz w:val="18"/>
          <w:szCs w:val="18"/>
        </w:rPr>
        <w:t xml:space="preserve"> A</w:t>
      </w:r>
      <w:r w:rsidRPr="00170527">
        <w:rPr>
          <w:rFonts w:asciiTheme="minorHAnsi" w:hAnsiTheme="minorHAnsi" w:cstheme="minorHAnsi"/>
          <w:sz w:val="18"/>
          <w:szCs w:val="18"/>
          <w:vertAlign w:val="superscript"/>
        </w:rPr>
        <w:t xml:space="preserve"> </w:t>
      </w:r>
      <w:r>
        <w:rPr>
          <w:rFonts w:cstheme="minorHAnsi"/>
          <w:sz w:val="18"/>
          <w:szCs w:val="18"/>
        </w:rPr>
        <w:t>(2018)</w:t>
      </w:r>
      <w:r w:rsidRPr="00170527">
        <w:rPr>
          <w:rFonts w:asciiTheme="minorHAnsi" w:hAnsiTheme="minorHAnsi" w:cstheme="minorHAnsi"/>
          <w:sz w:val="18"/>
          <w:szCs w:val="18"/>
        </w:rPr>
        <w:t xml:space="preserve"> Allelic diversity of </w:t>
      </w:r>
      <w:r w:rsidRPr="00170527">
        <w:rPr>
          <w:rFonts w:asciiTheme="minorHAnsi" w:hAnsiTheme="minorHAnsi" w:cstheme="minorHAnsi"/>
          <w:i/>
          <w:iCs/>
          <w:sz w:val="18"/>
          <w:szCs w:val="18"/>
        </w:rPr>
        <w:t>DQA2 exon 2</w:t>
      </w:r>
      <w:r w:rsidRPr="00170527">
        <w:rPr>
          <w:rFonts w:asciiTheme="minorHAnsi" w:hAnsiTheme="minorHAnsi" w:cstheme="minorHAnsi"/>
          <w:sz w:val="18"/>
          <w:szCs w:val="18"/>
        </w:rPr>
        <w:t xml:space="preserve"> gene in Egyptian goat populations. In</w:t>
      </w:r>
      <w:r>
        <w:rPr>
          <w:rFonts w:cstheme="minorHAnsi"/>
          <w:sz w:val="18"/>
          <w:szCs w:val="18"/>
        </w:rPr>
        <w:t>dian Journal of Animal Research</w:t>
      </w:r>
      <w:r w:rsidRPr="00170527">
        <w:rPr>
          <w:rFonts w:asciiTheme="minorHAnsi" w:hAnsiTheme="minorHAnsi" w:cstheme="minorHAnsi"/>
          <w:sz w:val="18"/>
          <w:szCs w:val="18"/>
        </w:rPr>
        <w:t xml:space="preserve"> 52: 1101-1106. </w:t>
      </w:r>
    </w:p>
    <w:p w:rsidR="003902EC" w:rsidRPr="00170527" w:rsidRDefault="003902EC" w:rsidP="003902EC">
      <w:pPr>
        <w:ind w:left="142" w:hanging="142"/>
        <w:jc w:val="both"/>
        <w:rPr>
          <w:rFonts w:asciiTheme="minorHAnsi" w:hAnsiTheme="minorHAnsi" w:cstheme="minorHAnsi"/>
          <w:sz w:val="18"/>
          <w:szCs w:val="18"/>
        </w:rPr>
      </w:pPr>
      <w:r w:rsidRPr="00170527">
        <w:rPr>
          <w:rFonts w:asciiTheme="minorHAnsi" w:hAnsiTheme="minorHAnsi" w:cstheme="minorHAnsi"/>
          <w:sz w:val="18"/>
          <w:szCs w:val="18"/>
        </w:rPr>
        <w:t>3.</w:t>
      </w:r>
      <w:r>
        <w:rPr>
          <w:rFonts w:cstheme="minorHAnsi"/>
          <w:sz w:val="18"/>
          <w:szCs w:val="18"/>
        </w:rPr>
        <w:t xml:space="preserve"> Makhlouf A, </w:t>
      </w:r>
      <w:r w:rsidRPr="00170527">
        <w:rPr>
          <w:rFonts w:asciiTheme="minorHAnsi" w:hAnsiTheme="minorHAnsi" w:cstheme="minorHAnsi"/>
          <w:sz w:val="18"/>
          <w:szCs w:val="18"/>
        </w:rPr>
        <w:t>Abd El-hady</w:t>
      </w:r>
      <w:r>
        <w:rPr>
          <w:rFonts w:cstheme="minorHAnsi"/>
          <w:sz w:val="18"/>
          <w:szCs w:val="18"/>
        </w:rPr>
        <w:t xml:space="preserve"> AM</w:t>
      </w:r>
      <w:r w:rsidRPr="00170527">
        <w:rPr>
          <w:rFonts w:asciiTheme="minorHAnsi" w:hAnsiTheme="minorHAnsi" w:cstheme="minorHAnsi"/>
          <w:sz w:val="18"/>
          <w:szCs w:val="18"/>
        </w:rPr>
        <w:t>, Abdel-Rahman</w:t>
      </w:r>
      <w:r>
        <w:rPr>
          <w:rFonts w:cstheme="minorHAnsi"/>
          <w:sz w:val="18"/>
          <w:szCs w:val="18"/>
        </w:rPr>
        <w:t xml:space="preserve"> SM, El-Raffa AM (2018)</w:t>
      </w:r>
      <w:r w:rsidRPr="00170527">
        <w:rPr>
          <w:rFonts w:asciiTheme="minorHAnsi" w:hAnsiTheme="minorHAnsi" w:cstheme="minorHAnsi"/>
          <w:sz w:val="18"/>
          <w:szCs w:val="18"/>
        </w:rPr>
        <w:t xml:space="preserve"> Single-strand conformation polymorphism of myostatin gene linked to slaughter traits and some blood constituents in rabbits. Egypt. J. Genet. Cytol. 47: 123-137. </w:t>
      </w:r>
    </w:p>
    <w:p w:rsidR="003902EC" w:rsidRPr="00170527" w:rsidRDefault="003902EC" w:rsidP="003902EC">
      <w:pPr>
        <w:ind w:left="142" w:hanging="142"/>
        <w:jc w:val="both"/>
        <w:rPr>
          <w:rFonts w:asciiTheme="minorHAnsi" w:hAnsiTheme="minorHAnsi" w:cstheme="minorHAnsi"/>
          <w:sz w:val="18"/>
          <w:szCs w:val="18"/>
        </w:rPr>
      </w:pPr>
      <w:r w:rsidRPr="00170527">
        <w:rPr>
          <w:rFonts w:asciiTheme="minorHAnsi" w:hAnsiTheme="minorHAnsi" w:cstheme="minorHAnsi"/>
          <w:sz w:val="18"/>
          <w:szCs w:val="18"/>
        </w:rPr>
        <w:t>4.</w:t>
      </w:r>
      <w:r>
        <w:rPr>
          <w:rFonts w:cstheme="minorHAnsi"/>
          <w:sz w:val="18"/>
          <w:szCs w:val="18"/>
        </w:rPr>
        <w:t xml:space="preserve"> Makhlouf A</w:t>
      </w:r>
      <w:r w:rsidRPr="00170527">
        <w:rPr>
          <w:rFonts w:asciiTheme="minorHAnsi" w:hAnsiTheme="minorHAnsi" w:cstheme="minorHAnsi"/>
          <w:sz w:val="18"/>
          <w:szCs w:val="18"/>
        </w:rPr>
        <w:t>, Ab</w:t>
      </w:r>
      <w:r>
        <w:rPr>
          <w:rFonts w:cstheme="minorHAnsi"/>
          <w:sz w:val="18"/>
          <w:szCs w:val="18"/>
        </w:rPr>
        <w:t>d El-Hady AM</w:t>
      </w:r>
      <w:r w:rsidRPr="00170527">
        <w:rPr>
          <w:rFonts w:asciiTheme="minorHAnsi" w:hAnsiTheme="minorHAnsi" w:cstheme="minorHAnsi"/>
          <w:sz w:val="18"/>
          <w:szCs w:val="18"/>
        </w:rPr>
        <w:t xml:space="preserve">, </w:t>
      </w:r>
      <w:r>
        <w:rPr>
          <w:rFonts w:cstheme="minorHAnsi"/>
          <w:sz w:val="18"/>
          <w:szCs w:val="18"/>
        </w:rPr>
        <w:t>Abdel-Rahman SM, El-Raffa AM (2017)</w:t>
      </w:r>
      <w:r w:rsidRPr="00170527">
        <w:rPr>
          <w:rFonts w:asciiTheme="minorHAnsi" w:hAnsiTheme="minorHAnsi" w:cstheme="minorHAnsi"/>
          <w:sz w:val="18"/>
          <w:szCs w:val="18"/>
        </w:rPr>
        <w:t xml:space="preserve"> Analysis of rabbit growth hormone gene polymorphisms to evaluate its impact on live body weight, hemato and biochemical parameters. </w:t>
      </w:r>
      <w:r w:rsidRPr="00170527">
        <w:rPr>
          <w:rFonts w:asciiTheme="minorHAnsi" w:eastAsia="TimesNewRomanPS-ItalicMT" w:hAnsiTheme="minorHAnsi" w:cstheme="minorHAnsi"/>
          <w:sz w:val="18"/>
          <w:szCs w:val="18"/>
        </w:rPr>
        <w:t>Arab J. Biotech.</w:t>
      </w:r>
      <w:r>
        <w:rPr>
          <w:rFonts w:eastAsia="TimesNewRomanPS-ItalicMT" w:cstheme="minorHAnsi"/>
          <w:sz w:val="18"/>
          <w:szCs w:val="18"/>
        </w:rPr>
        <w:t xml:space="preserve"> 20</w:t>
      </w:r>
      <w:r w:rsidRPr="00170527">
        <w:rPr>
          <w:rFonts w:asciiTheme="minorHAnsi" w:eastAsia="TimesNewRomanPS-ItalicMT" w:hAnsiTheme="minorHAnsi" w:cstheme="minorHAnsi"/>
          <w:sz w:val="18"/>
          <w:szCs w:val="18"/>
        </w:rPr>
        <w:t>: 77-90.</w:t>
      </w:r>
      <w:r w:rsidRPr="00170527">
        <w:rPr>
          <w:rFonts w:asciiTheme="minorHAnsi" w:hAnsiTheme="minorHAnsi" w:cstheme="minorHAnsi"/>
          <w:sz w:val="18"/>
          <w:szCs w:val="18"/>
        </w:rPr>
        <w:t xml:space="preserve"> </w:t>
      </w:r>
    </w:p>
    <w:p w:rsidR="00AE3E37" w:rsidRDefault="003902EC" w:rsidP="003902EC">
      <w:pPr>
        <w:ind w:left="142" w:hanging="142"/>
        <w:contextualSpacing/>
        <w:jc w:val="both"/>
        <w:rPr>
          <w:rFonts w:asciiTheme="minorHAnsi" w:hAnsiTheme="minorHAnsi" w:cstheme="minorHAnsi"/>
          <w:color w:val="000000"/>
          <w:sz w:val="18"/>
          <w:szCs w:val="18"/>
        </w:rPr>
      </w:pPr>
      <w:r w:rsidRPr="00170527">
        <w:rPr>
          <w:rFonts w:asciiTheme="minorHAnsi" w:hAnsiTheme="minorHAnsi" w:cstheme="minorHAnsi"/>
          <w:sz w:val="18"/>
          <w:szCs w:val="18"/>
        </w:rPr>
        <w:t>5.</w:t>
      </w:r>
      <w:r>
        <w:rPr>
          <w:rFonts w:cstheme="minorHAnsi"/>
          <w:sz w:val="18"/>
          <w:szCs w:val="18"/>
        </w:rPr>
        <w:t xml:space="preserve"> Abdel-Rahman SM, Elmaghraby AM, Haggag AS (2015)</w:t>
      </w:r>
      <w:r w:rsidRPr="00170527">
        <w:rPr>
          <w:rFonts w:asciiTheme="minorHAnsi" w:hAnsiTheme="minorHAnsi" w:cstheme="minorHAnsi"/>
          <w:sz w:val="18"/>
          <w:szCs w:val="18"/>
        </w:rPr>
        <w:t xml:space="preserve"> Fast and sensitive determination of camel’s and goat's meat and milk using species-specific genetic markers.</w:t>
      </w:r>
      <w:r w:rsidRPr="00170527">
        <w:rPr>
          <w:rFonts w:asciiTheme="minorHAnsi" w:hAnsiTheme="minorHAnsi" w:cstheme="minorHAnsi"/>
          <w:color w:val="000000"/>
          <w:sz w:val="18"/>
          <w:szCs w:val="18"/>
        </w:rPr>
        <w:t xml:space="preserve"> Bi</w:t>
      </w:r>
      <w:r>
        <w:rPr>
          <w:rFonts w:cstheme="minorHAnsi"/>
          <w:color w:val="000000"/>
          <w:sz w:val="18"/>
          <w:szCs w:val="18"/>
        </w:rPr>
        <w:t>otechnology in Animal Husbandry</w:t>
      </w:r>
      <w:r w:rsidRPr="00170527">
        <w:rPr>
          <w:rFonts w:asciiTheme="minorHAnsi" w:hAnsiTheme="minorHAnsi" w:cstheme="minorHAnsi"/>
          <w:color w:val="000000"/>
          <w:sz w:val="18"/>
          <w:szCs w:val="18"/>
        </w:rPr>
        <w:t xml:space="preserve"> 31: 415-423.</w:t>
      </w:r>
    </w:p>
    <w:p w:rsidR="001E5572" w:rsidRPr="008756E6" w:rsidRDefault="001E5572" w:rsidP="003902EC">
      <w:pPr>
        <w:ind w:left="142" w:hanging="142"/>
        <w:contextualSpacing/>
        <w:jc w:val="both"/>
      </w:pP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305DBF">
      <w:pPr>
        <w:pStyle w:val="BodyText"/>
        <w:spacing w:line="40" w:lineRule="exact"/>
        <w:ind w:left="2202"/>
        <w:rPr>
          <w:rFonts w:ascii="Calibri"/>
          <w:sz w:val="4"/>
        </w:rPr>
      </w:pPr>
      <w:r>
        <w:rPr>
          <w:rFonts w:ascii="Calibri"/>
          <w:noProof/>
          <w:sz w:val="4"/>
        </w:rPr>
        <w:drawing>
          <wp:anchor distT="0" distB="0" distL="114300" distR="114300" simplePos="0" relativeHeight="251663360" behindDoc="0" locked="0" layoutInCell="1" allowOverlap="1">
            <wp:simplePos x="0" y="0"/>
            <wp:positionH relativeFrom="column">
              <wp:posOffset>74930</wp:posOffset>
            </wp:positionH>
            <wp:positionV relativeFrom="paragraph">
              <wp:posOffset>20320</wp:posOffset>
            </wp:positionV>
            <wp:extent cx="530225" cy="692150"/>
            <wp:effectExtent l="114300" t="38100" r="60325" b="69850"/>
            <wp:wrapSquare wrapText="bothSides"/>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t="7217" b="14435"/>
                    <a:stretch>
                      <a:fillRect/>
                    </a:stretch>
                  </pic:blipFill>
                  <pic:spPr bwMode="auto">
                    <a:xfrm>
                      <a:off x="0" y="0"/>
                      <a:ext cx="530225" cy="6921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ascii="Calibri"/>
          <w:noProof/>
          <w:sz w:val="4"/>
        </w:rPr>
        <w:drawing>
          <wp:anchor distT="0" distB="0" distL="114300" distR="114300" simplePos="0" relativeHeight="251661312" behindDoc="0" locked="0" layoutInCell="1" allowOverlap="1">
            <wp:simplePos x="0" y="0"/>
            <wp:positionH relativeFrom="column">
              <wp:posOffset>5786755</wp:posOffset>
            </wp:positionH>
            <wp:positionV relativeFrom="paragraph">
              <wp:posOffset>26035</wp:posOffset>
            </wp:positionV>
            <wp:extent cx="751840" cy="675005"/>
            <wp:effectExtent l="19050" t="0" r="0" b="0"/>
            <wp:wrapSquare wrapText="bothSides"/>
            <wp:docPr id="3" name="Picture 33" descr="IMAGE1"/>
            <wp:cNvGraphicFramePr/>
            <a:graphic xmlns:a="http://schemas.openxmlformats.org/drawingml/2006/main">
              <a:graphicData uri="http://schemas.openxmlformats.org/drawingml/2006/picture">
                <pic:pic xmlns:pic="http://schemas.openxmlformats.org/drawingml/2006/picture">
                  <pic:nvPicPr>
                    <pic:cNvPr id="3074" name="Picture 2" descr="IMAGE1"/>
                    <pic:cNvPicPr>
                      <a:picLocks noChangeAspect="1" noChangeArrowheads="1"/>
                    </pic:cNvPicPr>
                  </pic:nvPicPr>
                  <pic:blipFill>
                    <a:blip r:embed="rId10" cstate="print"/>
                    <a:srcRect/>
                    <a:stretch>
                      <a:fillRect/>
                    </a:stretch>
                  </pic:blipFill>
                  <pic:spPr bwMode="auto">
                    <a:xfrm>
                      <a:off x="0" y="0"/>
                      <a:ext cx="751840" cy="675005"/>
                    </a:xfrm>
                    <a:prstGeom prst="rect">
                      <a:avLst/>
                    </a:prstGeom>
                    <a:noFill/>
                    <a:ln w="9525">
                      <a:noFill/>
                      <a:miter lim="800000"/>
                      <a:headEnd/>
                      <a:tailEnd/>
                    </a:ln>
                  </pic:spPr>
                </pic:pic>
              </a:graphicData>
            </a:graphic>
          </wp:anchor>
        </w:drawing>
      </w:r>
      <w:r w:rsidR="00F23738">
        <w:rPr>
          <w:rFonts w:ascii="Calibri"/>
          <w:noProof/>
          <w:sz w:val="4"/>
        </w:rPr>
      </w:r>
      <w:r w:rsidR="00F23738">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305DBF" w:rsidRDefault="00305DBF" w:rsidP="00404E5B">
      <w:pPr>
        <w:spacing w:before="92"/>
        <w:ind w:right="4234"/>
        <w:rPr>
          <w:noProof/>
        </w:rPr>
      </w:pPr>
    </w:p>
    <w:p w:rsidR="00305DBF" w:rsidRDefault="00305DBF" w:rsidP="00404E5B">
      <w:pPr>
        <w:spacing w:before="92"/>
        <w:ind w:right="4234"/>
        <w:rPr>
          <w:noProof/>
        </w:rPr>
      </w:pPr>
    </w:p>
    <w:p w:rsidR="008E54C5" w:rsidRDefault="008E54C5" w:rsidP="00404E5B">
      <w:pPr>
        <w:spacing w:before="92"/>
        <w:ind w:right="4234"/>
        <w:rPr>
          <w:rFonts w:ascii="Arial"/>
          <w:color w:val="BF5A14"/>
        </w:rPr>
      </w:pPr>
    </w:p>
    <w:p w:rsidR="00AE3E37" w:rsidRDefault="00A9710C" w:rsidP="00404E5B">
      <w:pPr>
        <w:spacing w:before="92"/>
        <w:ind w:right="4234"/>
        <w:rPr>
          <w:rFonts w:ascii="Arial"/>
        </w:rPr>
      </w:pPr>
      <w:r>
        <w:rPr>
          <w:rFonts w:ascii="Arial"/>
          <w:color w:val="BF5A14"/>
        </w:rPr>
        <w:t>Biography</w:t>
      </w:r>
      <w:r w:rsidR="00D51163" w:rsidRPr="00D51163">
        <w:rPr>
          <w:b/>
          <w:color w:val="0000FF"/>
          <w:lang w:val="en-IN"/>
        </w:rPr>
        <w:t xml:space="preserve"> </w:t>
      </w:r>
    </w:p>
    <w:p w:rsidR="00AE3E37" w:rsidRPr="008E54C5" w:rsidRDefault="00CD5176" w:rsidP="008E54C5">
      <w:pPr>
        <w:autoSpaceDE w:val="0"/>
        <w:autoSpaceDN w:val="0"/>
        <w:adjustRightInd w:val="0"/>
        <w:jc w:val="both"/>
        <w:rPr>
          <w:rFonts w:asciiTheme="minorBidi" w:eastAsia="AdvEPSTIM" w:hAnsiTheme="minorBidi" w:cstheme="minorBidi"/>
          <w:sz w:val="14"/>
          <w:szCs w:val="14"/>
        </w:rPr>
      </w:pPr>
      <w:r>
        <w:rPr>
          <w:rFonts w:asciiTheme="minorBidi" w:eastAsia="Times New Roman" w:hAnsiTheme="minorBidi" w:cstheme="minorBidi"/>
          <w:color w:val="222222"/>
          <w:sz w:val="14"/>
          <w:szCs w:val="14"/>
          <w:lang w:val="en-GB"/>
        </w:rPr>
        <w:t xml:space="preserve">Dr. Salah Abdel-Rahman is a </w:t>
      </w:r>
      <w:r w:rsidRPr="00E72FEE">
        <w:rPr>
          <w:rFonts w:asciiTheme="minorBidi" w:eastAsia="Times New Roman" w:hAnsiTheme="minorBidi" w:cstheme="minorBidi"/>
          <w:color w:val="222222"/>
          <w:sz w:val="14"/>
          <w:szCs w:val="14"/>
          <w:lang w:val="en-GB"/>
        </w:rPr>
        <w:t>Pro</w:t>
      </w:r>
      <w:r>
        <w:rPr>
          <w:rFonts w:asciiTheme="minorBidi" w:eastAsia="Times New Roman" w:hAnsiTheme="minorBidi" w:cstheme="minorBidi"/>
          <w:color w:val="222222"/>
          <w:sz w:val="14"/>
          <w:szCs w:val="14"/>
          <w:lang w:val="en-GB"/>
        </w:rPr>
        <w:t>fessor of Molecular Genetics and</w:t>
      </w:r>
      <w:r w:rsidRPr="00E72FEE">
        <w:rPr>
          <w:rFonts w:asciiTheme="minorBidi" w:eastAsia="Times New Roman" w:hAnsiTheme="minorBidi" w:cstheme="minorBidi"/>
          <w:color w:val="222222"/>
          <w:sz w:val="14"/>
          <w:szCs w:val="14"/>
          <w:lang w:val="en-GB"/>
        </w:rPr>
        <w:t xml:space="preserve"> work</w:t>
      </w:r>
      <w:r>
        <w:rPr>
          <w:rFonts w:asciiTheme="minorBidi" w:eastAsia="Times New Roman" w:hAnsiTheme="minorBidi" w:cstheme="minorBidi"/>
          <w:color w:val="222222"/>
          <w:sz w:val="14"/>
          <w:szCs w:val="14"/>
          <w:lang w:val="en-GB"/>
        </w:rPr>
        <w:t>s</w:t>
      </w:r>
      <w:r w:rsidRPr="00E72FEE">
        <w:rPr>
          <w:rFonts w:asciiTheme="minorBidi" w:eastAsia="Times New Roman" w:hAnsiTheme="minorBidi" w:cstheme="minorBidi"/>
          <w:color w:val="222222"/>
          <w:sz w:val="14"/>
          <w:szCs w:val="14"/>
          <w:lang w:val="en-GB"/>
        </w:rPr>
        <w:t xml:space="preserve"> at Nucleic Acid Research Department, Genetic Engineering and Biotechnology Research Institute, City of Scientific Research and Technological Applications, Alexandria, Egypt.</w:t>
      </w:r>
      <w:r>
        <w:rPr>
          <w:rFonts w:asciiTheme="minorBidi" w:eastAsia="Times New Roman" w:hAnsiTheme="minorBidi" w:cstheme="minorBidi"/>
          <w:color w:val="222222"/>
          <w:sz w:val="14"/>
          <w:szCs w:val="14"/>
          <w:lang w:val="en-GB"/>
        </w:rPr>
        <w:t xml:space="preserve"> </w:t>
      </w:r>
      <w:r>
        <w:rPr>
          <w:rFonts w:ascii="Arial"/>
          <w:sz w:val="14"/>
        </w:rPr>
        <w:t xml:space="preserve">Dr. </w:t>
      </w:r>
      <w:r w:rsidR="00D1161C">
        <w:rPr>
          <w:rFonts w:ascii="Arial"/>
          <w:sz w:val="14"/>
        </w:rPr>
        <w:t>S</w:t>
      </w:r>
      <w:r>
        <w:rPr>
          <w:rFonts w:ascii="Arial"/>
          <w:sz w:val="14"/>
        </w:rPr>
        <w:t>alah</w:t>
      </w:r>
      <w:r w:rsidR="00D1161C">
        <w:rPr>
          <w:rFonts w:ascii="Arial"/>
          <w:sz w:val="14"/>
        </w:rPr>
        <w:t xml:space="preserve"> has an</w:t>
      </w:r>
      <w:r w:rsidR="00A9710C">
        <w:rPr>
          <w:rFonts w:ascii="Arial"/>
          <w:sz w:val="14"/>
        </w:rPr>
        <w:t xml:space="preserve"> expertise in </w:t>
      </w:r>
      <w:r w:rsidR="00D1161C">
        <w:rPr>
          <w:rFonts w:asciiTheme="minorBidi" w:eastAsia="+mj-ea" w:hAnsiTheme="minorBidi" w:cstheme="minorBidi"/>
          <w:sz w:val="14"/>
          <w:szCs w:val="14"/>
          <w:lang w:bidi="ar-EG"/>
        </w:rPr>
        <w:t>d</w:t>
      </w:r>
      <w:r w:rsidR="00D1161C" w:rsidRPr="00E72FEE">
        <w:rPr>
          <w:rFonts w:asciiTheme="minorBidi" w:eastAsia="+mj-ea" w:hAnsiTheme="minorBidi" w:cstheme="minorBidi"/>
          <w:sz w:val="14"/>
          <w:szCs w:val="14"/>
          <w:lang w:bidi="ar-EG"/>
        </w:rPr>
        <w:t>etection of adulteration and identification</w:t>
      </w:r>
      <w:r w:rsidR="00D1161C" w:rsidRPr="00E72FEE">
        <w:rPr>
          <w:rFonts w:asciiTheme="minorBidi" w:hAnsiTheme="minorBidi" w:cstheme="minorBidi"/>
          <w:sz w:val="14"/>
          <w:szCs w:val="14"/>
          <w:lang w:bidi="ar-EG"/>
        </w:rPr>
        <w:t xml:space="preserve"> </w:t>
      </w:r>
      <w:r w:rsidR="00D1161C" w:rsidRPr="00E72FEE">
        <w:rPr>
          <w:rFonts w:asciiTheme="minorBidi" w:eastAsia="+mj-ea" w:hAnsiTheme="minorBidi" w:cstheme="minorBidi"/>
          <w:sz w:val="14"/>
          <w:szCs w:val="14"/>
          <w:lang w:bidi="ar-EG"/>
        </w:rPr>
        <w:t>of meat and milk species using molecular genetic techniques</w:t>
      </w:r>
      <w:r w:rsidR="00D1161C">
        <w:rPr>
          <w:rFonts w:asciiTheme="minorBidi" w:eastAsia="+mj-ea" w:hAnsiTheme="minorBidi" w:cstheme="minorBidi"/>
          <w:sz w:val="14"/>
          <w:szCs w:val="14"/>
          <w:lang w:bidi="ar-EG"/>
        </w:rPr>
        <w:t>.</w:t>
      </w:r>
      <w:r>
        <w:rPr>
          <w:rFonts w:asciiTheme="minorBidi" w:eastAsia="+mj-ea" w:hAnsiTheme="minorBidi" w:cstheme="minorBidi"/>
          <w:sz w:val="14"/>
          <w:szCs w:val="14"/>
          <w:lang w:bidi="ar-EG"/>
        </w:rPr>
        <w:t xml:space="preserve"> In addition to poultry’s meat identification, Dr. Salah could also identified the farm animals meat and milk, such as: </w:t>
      </w:r>
      <w:r w:rsidR="008E54C5" w:rsidRPr="005B5CB8">
        <w:rPr>
          <w:rFonts w:asciiTheme="minorBidi" w:hAnsiTheme="minorBidi" w:cstheme="minorBidi"/>
          <w:sz w:val="14"/>
          <w:szCs w:val="14"/>
        </w:rPr>
        <w:t>goat, dog, cat, buffalo, cattle, sheep, camel, donkey, horse and pig</w:t>
      </w:r>
      <w:r w:rsidR="008E54C5">
        <w:rPr>
          <w:rFonts w:asciiTheme="minorBidi" w:hAnsiTheme="minorBidi" w:cstheme="minorBidi"/>
          <w:sz w:val="14"/>
          <w:szCs w:val="14"/>
        </w:rPr>
        <w:t xml:space="preserve">. However, </w:t>
      </w:r>
      <w:r w:rsidR="008E54C5">
        <w:rPr>
          <w:rFonts w:asciiTheme="minorBidi" w:eastAsia="AdvEPSTIM" w:hAnsiTheme="minorBidi" w:cstheme="minorBidi"/>
          <w:sz w:val="14"/>
          <w:szCs w:val="14"/>
        </w:rPr>
        <w:t>t</w:t>
      </w:r>
      <w:r w:rsidR="008E54C5" w:rsidRPr="005B5CB8">
        <w:rPr>
          <w:rFonts w:asciiTheme="minorBidi" w:eastAsia="AdvEPSTIM" w:hAnsiTheme="minorBidi" w:cstheme="minorBidi"/>
          <w:sz w:val="14"/>
          <w:szCs w:val="14"/>
        </w:rPr>
        <w:t>he proposed PCR and PCR–RFLP assays represent a rapid and sensitive method applicable to the detection and authentication of meat and milk species-specific.</w:t>
      </w:r>
    </w:p>
    <w:p w:rsidR="00AE3E37" w:rsidRDefault="00A9710C">
      <w:pPr>
        <w:spacing w:before="62"/>
        <w:ind w:left="4217" w:right="4235"/>
        <w:jc w:val="center"/>
        <w:rPr>
          <w:rFonts w:ascii="Arial"/>
          <w:sz w:val="14"/>
        </w:rPr>
      </w:pPr>
      <w:r>
        <w:rPr>
          <w:rFonts w:ascii="Arial"/>
          <w:sz w:val="14"/>
        </w:rPr>
        <w:t xml:space="preserve">Email: </w:t>
      </w:r>
      <w:hyperlink r:id="rId11" w:history="1">
        <w:r w:rsidR="003902EC" w:rsidRPr="007561EC">
          <w:rPr>
            <w:rStyle w:val="Hyperlink"/>
            <w:rFonts w:ascii="Arial"/>
            <w:sz w:val="14"/>
          </w:rPr>
          <w:t>salahmaa@gmail.com</w:t>
        </w:r>
      </w:hyperlink>
    </w:p>
    <w:p w:rsidR="00AE3E37" w:rsidRDefault="00F23738">
      <w:pPr>
        <w:pStyle w:val="BodyText"/>
        <w:spacing w:before="2"/>
        <w:rPr>
          <w:rFonts w:ascii="Arial"/>
          <w:sz w:val="19"/>
        </w:rPr>
      </w:pPr>
      <w:r w:rsidRPr="00F23738">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3902EC">
        <w:rPr>
          <w:sz w:val="20"/>
          <w:szCs w:val="20"/>
          <w:lang w:val="en-NZ"/>
        </w:rPr>
        <w:t>Salah M. Abdel-Rahman</w:t>
      </w:r>
      <w:r w:rsidRPr="00F35A62">
        <w:rPr>
          <w:sz w:val="20"/>
          <w:szCs w:val="20"/>
          <w:lang w:val="en-NZ"/>
        </w:rPr>
        <w:br/>
        <w:t>Contact number:</w:t>
      </w:r>
      <w:r w:rsidR="003902EC">
        <w:rPr>
          <w:sz w:val="20"/>
          <w:szCs w:val="20"/>
          <w:lang w:val="en-NZ"/>
        </w:rPr>
        <w:t xml:space="preserve"> 00201112727468</w:t>
      </w:r>
      <w:r w:rsidRPr="00F35A62">
        <w:rPr>
          <w:sz w:val="20"/>
          <w:szCs w:val="20"/>
          <w:lang w:val="en-NZ"/>
        </w:rPr>
        <w:br/>
        <w:t>Twitter account:</w:t>
      </w:r>
      <w:r w:rsidRPr="00F35A62">
        <w:rPr>
          <w:sz w:val="20"/>
          <w:szCs w:val="20"/>
          <w:lang w:val="en-NZ"/>
        </w:rPr>
        <w:br/>
        <w:t>Linked In account:</w:t>
      </w:r>
    </w:p>
    <w:p w:rsidR="00EA7D51" w:rsidRPr="003902EC" w:rsidRDefault="00EA7D51" w:rsidP="003902EC">
      <w:pPr>
        <w:autoSpaceDE w:val="0"/>
        <w:autoSpaceDN w:val="0"/>
        <w:adjustRightInd w:val="0"/>
        <w:rPr>
          <w:rFonts w:ascii="Minion Pro"/>
          <w:b/>
          <w:sz w:val="20"/>
          <w:lang w:val="en-NZ"/>
        </w:rPr>
        <w:sectPr w:rsidR="00EA7D51" w:rsidRPr="003902EC"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w:t>
      </w:r>
      <w:r w:rsidR="003902EC">
        <w:rPr>
          <w:sz w:val="20"/>
          <w:szCs w:val="20"/>
          <w:lang w:val="en-NZ"/>
        </w:rPr>
        <w:t>resentation</w:t>
      </w:r>
      <w:r w:rsidRPr="00F35A62">
        <w:rPr>
          <w:sz w:val="20"/>
          <w:szCs w:val="20"/>
          <w:lang w:val="en-NZ"/>
        </w:rPr>
        <w:t>)</w:t>
      </w:r>
      <w:bookmarkStart w:id="0" w:name="_GoBack"/>
      <w:bookmarkEnd w:id="0"/>
    </w:p>
    <w:p w:rsidR="00AE3E37" w:rsidRDefault="00AE3E37" w:rsidP="003902EC">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2AB0" w:rsidRDefault="00802AB0">
      <w:r>
        <w:separator/>
      </w:r>
    </w:p>
  </w:endnote>
  <w:endnote w:type="continuationSeparator" w:id="1">
    <w:p w:rsidR="00802AB0" w:rsidRDefault="00802AB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TimesNewRomanPS-ItalicMT">
    <w:altName w:val="MS Mincho"/>
    <w:panose1 w:val="00000000000000000000"/>
    <w:charset w:val="80"/>
    <w:family w:val="auto"/>
    <w:notTrueType/>
    <w:pitch w:val="default"/>
    <w:sig w:usb0="00000001" w:usb1="08070000" w:usb2="00000010" w:usb3="00000000" w:csb0="00020000" w:csb1="00000000"/>
  </w:font>
  <w:font w:name="AdvEPSTIM">
    <w:altName w:val="MS Mincho"/>
    <w:panose1 w:val="00000000000000000000"/>
    <w:charset w:val="80"/>
    <w:family w:val="auto"/>
    <w:notTrueType/>
    <w:pitch w:val="default"/>
    <w:sig w:usb0="00000001" w:usb1="08070000" w:usb2="00000010" w:usb3="00000000" w:csb0="00020000" w:csb1="00000000"/>
  </w:font>
  <w:font w:name="+mj-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23738">
    <w:pPr>
      <w:pStyle w:val="BodyText"/>
      <w:spacing w:line="14" w:lineRule="auto"/>
      <w:rPr>
        <w:sz w:val="20"/>
      </w:rPr>
    </w:pPr>
    <w:r w:rsidRPr="00F23738">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F23738">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23738">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2AB0" w:rsidRDefault="00802AB0">
      <w:r>
        <w:separator/>
      </w:r>
    </w:p>
  </w:footnote>
  <w:footnote w:type="continuationSeparator" w:id="1">
    <w:p w:rsidR="00802AB0" w:rsidRDefault="00802AB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characterSpacingControl w:val="doNotCompress"/>
  <w:hdrShapeDefaults>
    <o:shapedefaults v:ext="edit" spidmax="17410"/>
    <o:shapelayout v:ext="edit">
      <o:idmap v:ext="edit" data="4"/>
    </o:shapelayout>
  </w:hdrShapeDefaults>
  <w:footnotePr>
    <w:footnote w:id="0"/>
    <w:footnote w:id="1"/>
  </w:footnotePr>
  <w:endnotePr>
    <w:endnote w:id="0"/>
    <w:endnote w:id="1"/>
  </w:endnotePr>
  <w:compat>
    <w:ulTrailSpace/>
  </w:compat>
  <w:rsids>
    <w:rsidRoot w:val="00AE3E37"/>
    <w:rsid w:val="000534A1"/>
    <w:rsid w:val="0006797A"/>
    <w:rsid w:val="000B4CAA"/>
    <w:rsid w:val="000E2911"/>
    <w:rsid w:val="001263DF"/>
    <w:rsid w:val="001E5572"/>
    <w:rsid w:val="00255177"/>
    <w:rsid w:val="00257C8B"/>
    <w:rsid w:val="00292ED9"/>
    <w:rsid w:val="00305DBF"/>
    <w:rsid w:val="00351D9B"/>
    <w:rsid w:val="00380299"/>
    <w:rsid w:val="003902EC"/>
    <w:rsid w:val="00404E5B"/>
    <w:rsid w:val="00414F7B"/>
    <w:rsid w:val="004355DC"/>
    <w:rsid w:val="00460DA1"/>
    <w:rsid w:val="00473387"/>
    <w:rsid w:val="004749B4"/>
    <w:rsid w:val="00475D20"/>
    <w:rsid w:val="00494130"/>
    <w:rsid w:val="004B52E4"/>
    <w:rsid w:val="004F3523"/>
    <w:rsid w:val="00590D60"/>
    <w:rsid w:val="005973B9"/>
    <w:rsid w:val="005B3A56"/>
    <w:rsid w:val="005D6FCD"/>
    <w:rsid w:val="005E52E6"/>
    <w:rsid w:val="006060CE"/>
    <w:rsid w:val="0061505C"/>
    <w:rsid w:val="0063497F"/>
    <w:rsid w:val="00714354"/>
    <w:rsid w:val="00802AB0"/>
    <w:rsid w:val="00873DF0"/>
    <w:rsid w:val="008756E6"/>
    <w:rsid w:val="00875A0A"/>
    <w:rsid w:val="00897EC5"/>
    <w:rsid w:val="008A0763"/>
    <w:rsid w:val="008E5477"/>
    <w:rsid w:val="008E54C5"/>
    <w:rsid w:val="00910D81"/>
    <w:rsid w:val="00927954"/>
    <w:rsid w:val="009B2D44"/>
    <w:rsid w:val="009D496C"/>
    <w:rsid w:val="00A07E82"/>
    <w:rsid w:val="00A52075"/>
    <w:rsid w:val="00A67C1D"/>
    <w:rsid w:val="00A9710C"/>
    <w:rsid w:val="00AE3E37"/>
    <w:rsid w:val="00B21A57"/>
    <w:rsid w:val="00B33A44"/>
    <w:rsid w:val="00BE6743"/>
    <w:rsid w:val="00C27B28"/>
    <w:rsid w:val="00C33602"/>
    <w:rsid w:val="00C56C74"/>
    <w:rsid w:val="00CB6E71"/>
    <w:rsid w:val="00CD5176"/>
    <w:rsid w:val="00CD6F55"/>
    <w:rsid w:val="00D1161C"/>
    <w:rsid w:val="00D51163"/>
    <w:rsid w:val="00DE3104"/>
    <w:rsid w:val="00DE6170"/>
    <w:rsid w:val="00E30AAC"/>
    <w:rsid w:val="00E30C95"/>
    <w:rsid w:val="00E40052"/>
    <w:rsid w:val="00E95D97"/>
    <w:rsid w:val="00EA7D51"/>
    <w:rsid w:val="00F046EA"/>
    <w:rsid w:val="00F23738"/>
    <w:rsid w:val="00F312EA"/>
    <w:rsid w:val="00F35A62"/>
    <w:rsid w:val="00F72EEA"/>
    <w:rsid w:val="00F84CAE"/>
    <w:rsid w:val="00FA41DE"/>
    <w:rsid w:val="00FB527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ps">
    <w:name w:val="hps"/>
    <w:basedOn w:val="DefaultParagraphFont"/>
    <w:rsid w:val="00257C8B"/>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lahmaa@gmail.com"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Salah</cp:lastModifiedBy>
  <cp:revision>7</cp:revision>
  <dcterms:created xsi:type="dcterms:W3CDTF">2021-12-22T18:15:00Z</dcterms:created>
  <dcterms:modified xsi:type="dcterms:W3CDTF">2022-01-04T10:09:00Z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