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99D67" w14:textId="77777777" w:rsidR="00AE3E37" w:rsidRDefault="007660D1" w:rsidP="00494130">
      <w:pPr>
        <w:pStyle w:val="Heading1"/>
        <w:spacing w:before="170"/>
        <w:ind w:left="0"/>
      </w:pPr>
      <w:r w:rsidRPr="00201421">
        <w:t>Phenolic Antioxidants in Plant Foods and their Roles in Human Health</w:t>
      </w:r>
    </w:p>
    <w:p w14:paraId="286844EC" w14:textId="77777777" w:rsidR="00201421" w:rsidRDefault="00201421" w:rsidP="00201421">
      <w:pPr>
        <w:outlineLvl w:val="0"/>
        <w:rPr>
          <w:rFonts w:ascii="Arial"/>
        </w:rPr>
      </w:pPr>
    </w:p>
    <w:p w14:paraId="4328D6AB" w14:textId="77777777" w:rsidR="005973B9" w:rsidRPr="00CF162D" w:rsidRDefault="00201421" w:rsidP="00201421">
      <w:pPr>
        <w:outlineLvl w:val="0"/>
        <w:rPr>
          <w:rFonts w:ascii="Arial" w:hAnsi="Arial" w:cs="Arial"/>
          <w:sz w:val="18"/>
          <w:szCs w:val="18"/>
        </w:rPr>
      </w:pPr>
      <w:proofErr w:type="spellStart"/>
      <w:r w:rsidRPr="00CF162D">
        <w:rPr>
          <w:rFonts w:ascii="Arial" w:hAnsi="Arial" w:cs="Arial"/>
          <w:sz w:val="18"/>
          <w:szCs w:val="18"/>
        </w:rPr>
        <w:t>Yuegang</w:t>
      </w:r>
      <w:proofErr w:type="spellEnd"/>
      <w:r w:rsidRPr="00CF162D">
        <w:rPr>
          <w:rFonts w:ascii="Arial" w:hAnsi="Arial" w:cs="Arial"/>
          <w:sz w:val="18"/>
          <w:szCs w:val="18"/>
        </w:rPr>
        <w:t xml:space="preserve"> </w:t>
      </w:r>
      <w:proofErr w:type="spellStart"/>
      <w:proofErr w:type="gramStart"/>
      <w:r w:rsidRPr="00CF162D">
        <w:rPr>
          <w:rFonts w:ascii="Arial" w:hAnsi="Arial" w:cs="Arial"/>
          <w:sz w:val="18"/>
          <w:szCs w:val="18"/>
        </w:rPr>
        <w:t>Zuo</w:t>
      </w:r>
      <w:proofErr w:type="spellEnd"/>
      <w:r w:rsidRPr="00CF162D">
        <w:rPr>
          <w:rFonts w:ascii="Arial" w:hAnsi="Arial" w:cs="Arial"/>
          <w:sz w:val="18"/>
          <w:szCs w:val="18"/>
        </w:rPr>
        <w:t xml:space="preserve"> ,</w:t>
      </w:r>
      <w:proofErr w:type="gramEnd"/>
      <w:r w:rsidRPr="00CF162D">
        <w:rPr>
          <w:rFonts w:ascii="Arial" w:hAnsi="Arial" w:cs="Arial"/>
          <w:sz w:val="18"/>
          <w:szCs w:val="18"/>
        </w:rPr>
        <w:t xml:space="preserve"> Department of Chemistry and Biochemistry, University of Massachusetts Dartmouth, 285 Old Westport Road, North Dartmouth, MA 02747, USA</w:t>
      </w:r>
      <w:bookmarkStart w:id="0" w:name="macroMarkHere"/>
      <w:bookmarkEnd w:id="0"/>
    </w:p>
    <w:p w14:paraId="10C03C29" w14:textId="77777777" w:rsidR="00AE3E37" w:rsidRDefault="00AE3E37">
      <w:pPr>
        <w:pStyle w:val="BodyText"/>
        <w:rPr>
          <w:rFonts w:ascii="Arial"/>
          <w:sz w:val="20"/>
        </w:rPr>
      </w:pPr>
    </w:p>
    <w:p w14:paraId="39D0A2CC" w14:textId="77777777" w:rsidR="00AE3E37" w:rsidRDefault="00AE3E37">
      <w:pPr>
        <w:pStyle w:val="BodyText"/>
        <w:spacing w:before="3"/>
        <w:rPr>
          <w:rFonts w:ascii="Arial"/>
          <w:sz w:val="21"/>
        </w:rPr>
      </w:pPr>
    </w:p>
    <w:p w14:paraId="140244E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61A0EC3" w14:textId="77777777" w:rsidR="00AE3E37" w:rsidRDefault="00A9710C">
      <w:pPr>
        <w:pStyle w:val="Heading3"/>
        <w:spacing w:before="147"/>
        <w:jc w:val="both"/>
      </w:pPr>
      <w:r>
        <w:rPr>
          <w:color w:val="BF5A14"/>
        </w:rPr>
        <w:lastRenderedPageBreak/>
        <w:t>Abstract</w:t>
      </w:r>
      <w:r w:rsidR="00201421">
        <w:rPr>
          <w:color w:val="BF5A14"/>
        </w:rPr>
        <w:t xml:space="preserve"> </w:t>
      </w:r>
    </w:p>
    <w:p w14:paraId="20B51533" w14:textId="77777777" w:rsidR="00201421" w:rsidRDefault="00201421" w:rsidP="00201421">
      <w:pPr>
        <w:pStyle w:val="BodyText"/>
        <w:spacing w:before="90" w:line="280" w:lineRule="auto"/>
        <w:ind w:left="100"/>
        <w:jc w:val="both"/>
      </w:pPr>
      <w:r>
        <w:t xml:space="preserve">Polyphenols are constituents of many fruits, vegetables and other plant-derived foods, and they have attracted a great deal of public and scientific interest because of their potential </w:t>
      </w:r>
      <w:proofErr w:type="spellStart"/>
      <w:r>
        <w:t>anticarcinogenic</w:t>
      </w:r>
      <w:proofErr w:type="spellEnd"/>
      <w:r>
        <w:t xml:space="preserve">, antibacterial, </w:t>
      </w:r>
      <w:proofErr w:type="spellStart"/>
      <w:r>
        <w:t>antiinflammatory</w:t>
      </w:r>
      <w:proofErr w:type="spellEnd"/>
      <w:r>
        <w:t xml:space="preserve"> and other health-promoting effects as antioxidants and free radical scavengers. A number of epidemiological studies have given evidence that consumption of fruits and vegetables is correlated with reduced incidence of and mortality from cancer, and cardiovascular and neurological diseases. The protection that fruits and vegetables provide against these diseases has been attributed to the </w:t>
      </w:r>
      <w:proofErr w:type="spellStart"/>
      <w:r>
        <w:t>polyphenolic</w:t>
      </w:r>
      <w:proofErr w:type="spellEnd"/>
      <w:r>
        <w:t xml:space="preserve"> and other antioxidant phytonutrients contained in these foods. Therefore, it is important to isolate, identify and quantify </w:t>
      </w:r>
      <w:proofErr w:type="spellStart"/>
      <w:r>
        <w:t>polyphenolic</w:t>
      </w:r>
      <w:proofErr w:type="spellEnd"/>
      <w:r>
        <w:t xml:space="preserve"> compounds and their bioavailability in order to understand their critical roles in human health. In this presentation, the speaker will first report on the progress on the separation, identification and measurement of polyphenols in various fruits, vegetables, traditional Chinese medicines, tea and other plant-derived foods in the past decade [Chen et al., J. </w:t>
      </w:r>
      <w:proofErr w:type="spellStart"/>
      <w:r>
        <w:t>Chromatogr</w:t>
      </w:r>
      <w:proofErr w:type="spellEnd"/>
      <w:r>
        <w:t xml:space="preserve">. 913 (2001) 387; </w:t>
      </w:r>
      <w:proofErr w:type="spellStart"/>
      <w:r>
        <w:t>Zuo</w:t>
      </w:r>
      <w:proofErr w:type="spellEnd"/>
      <w:r>
        <w:t xml:space="preserve"> et al., </w:t>
      </w:r>
      <w:proofErr w:type="spellStart"/>
      <w:r>
        <w:t>Talanta</w:t>
      </w:r>
      <w:proofErr w:type="spellEnd"/>
      <w:r>
        <w:t xml:space="preserve"> 57 (2002) 307; J. </w:t>
      </w:r>
      <w:proofErr w:type="spellStart"/>
      <w:r>
        <w:t>Agric</w:t>
      </w:r>
      <w:proofErr w:type="spellEnd"/>
      <w:r>
        <w:t xml:space="preserve"> &amp; Food Chem. 50 (2002) 3789; Jiao &amp; </w:t>
      </w:r>
      <w:proofErr w:type="spellStart"/>
      <w:r>
        <w:t>Zuo</w:t>
      </w:r>
      <w:proofErr w:type="spellEnd"/>
      <w:r>
        <w:t xml:space="preserve">, </w:t>
      </w:r>
      <w:proofErr w:type="spellStart"/>
      <w:r>
        <w:t>Phytochem</w:t>
      </w:r>
      <w:proofErr w:type="spellEnd"/>
      <w:r>
        <w:t>. Anal. 20 (2009) 272</w:t>
      </w:r>
      <w:proofErr w:type="gramStart"/>
      <w:r>
        <w:t>;</w:t>
      </w:r>
      <w:proofErr w:type="gramEnd"/>
      <w:r>
        <w:t xml:space="preserve"> Ahmad et al., Food Chem. 190 (2015) 80], mainly by GC, GC-MS, HPLC, HPLC-MS, CE, and CE-MS [Y. </w:t>
      </w:r>
      <w:proofErr w:type="spellStart"/>
      <w:r>
        <w:t>Zuo</w:t>
      </w:r>
      <w:proofErr w:type="spellEnd"/>
      <w:r>
        <w:t xml:space="preserve"> </w:t>
      </w:r>
      <w:r>
        <w:rPr>
          <w:rFonts w:eastAsia="Times New Roman"/>
        </w:rPr>
        <w:t>(2014) (Eds.), High-Performance Liquid Chromatography (HPLC): Principles, Procedures and Practices. Nova Science Publishers, Inc., New York]</w:t>
      </w:r>
      <w:r>
        <w:t xml:space="preserve">; then further discuss the antioxidant, free-radical scavenger and anticancer capacity of polyphenols, and finally focus on the bioavailability including absorption, subsequent distribution, metabolism and excretion of polyphenols in human fluids [Zhang &amp; </w:t>
      </w:r>
      <w:proofErr w:type="spellStart"/>
      <w:r>
        <w:t>Zuo</w:t>
      </w:r>
      <w:proofErr w:type="spellEnd"/>
      <w:r>
        <w:t xml:space="preserve">, J. </w:t>
      </w:r>
      <w:proofErr w:type="spellStart"/>
      <w:r>
        <w:t>Agric</w:t>
      </w:r>
      <w:proofErr w:type="spellEnd"/>
      <w:r>
        <w:t xml:space="preserve"> &amp; Food Chem. 52 (2004) 222; Wang et al. Food Chem. 132 (2012) 1420].</w:t>
      </w:r>
    </w:p>
    <w:p w14:paraId="5DFB0E82" w14:textId="77777777" w:rsidR="00201421" w:rsidRDefault="00201421" w:rsidP="00201421">
      <w:pPr>
        <w:pStyle w:val="BodyText"/>
        <w:spacing w:before="90" w:line="280" w:lineRule="auto"/>
        <w:ind w:left="100"/>
        <w:jc w:val="both"/>
        <w:rPr>
          <w:rFonts w:ascii="Arial"/>
          <w:b/>
          <w:color w:val="BF5A14"/>
          <w:sz w:val="20"/>
        </w:rPr>
      </w:pPr>
      <w:r>
        <w:rPr>
          <w:rFonts w:ascii="Arial"/>
          <w:b/>
          <w:color w:val="BF5A14"/>
          <w:sz w:val="20"/>
        </w:rPr>
        <w:t xml:space="preserve"> </w:t>
      </w:r>
    </w:p>
    <w:p w14:paraId="57678247" w14:textId="669F6727" w:rsidR="00752113" w:rsidRPr="0033150E" w:rsidRDefault="00F77519" w:rsidP="0033150E">
      <w:pPr>
        <w:spacing w:line="204" w:lineRule="exact"/>
        <w:rPr>
          <w:rFonts w:ascii="Arial"/>
          <w:b/>
          <w:sz w:val="20"/>
        </w:rPr>
      </w:pPr>
      <w:r>
        <w:rPr>
          <w:rFonts w:ascii="Arial"/>
          <w:b/>
          <w:color w:val="BF5A14"/>
          <w:sz w:val="20"/>
        </w:rPr>
        <w:t>Recent Publications</w:t>
      </w:r>
    </w:p>
    <w:p w14:paraId="38FDCAD0" w14:textId="77777777" w:rsidR="00752113" w:rsidRPr="00F77519" w:rsidRDefault="00752113" w:rsidP="00752113">
      <w:pPr>
        <w:numPr>
          <w:ilvl w:val="0"/>
          <w:numId w:val="4"/>
        </w:numPr>
        <w:jc w:val="both"/>
        <w:rPr>
          <w:rFonts w:asciiTheme="minorHAnsi" w:eastAsia="Wawati TC Regular" w:hAnsiTheme="minorHAnsi"/>
          <w:sz w:val="18"/>
          <w:szCs w:val="18"/>
        </w:rPr>
      </w:pPr>
      <w:r w:rsidRPr="00F77519">
        <w:rPr>
          <w:rFonts w:asciiTheme="minorHAnsi" w:eastAsia="Wawati TC Regular" w:hAnsiTheme="minorHAnsi"/>
          <w:sz w:val="18"/>
          <w:szCs w:val="18"/>
        </w:rPr>
        <w:t xml:space="preserve">Ahmad N, </w:t>
      </w:r>
      <w:proofErr w:type="spellStart"/>
      <w:r w:rsidRPr="00F77519">
        <w:rPr>
          <w:rFonts w:asciiTheme="minorHAnsi" w:eastAsia="Wawati TC Regular" w:hAnsiTheme="minorHAnsi"/>
          <w:sz w:val="18"/>
          <w:szCs w:val="18"/>
        </w:rPr>
        <w:t>Zuo</w:t>
      </w:r>
      <w:proofErr w:type="spellEnd"/>
      <w:r w:rsidRPr="00F77519">
        <w:rPr>
          <w:rFonts w:asciiTheme="minorHAnsi" w:eastAsia="Wawati TC Regular" w:hAnsiTheme="minorHAnsi"/>
          <w:sz w:val="18"/>
          <w:szCs w:val="18"/>
        </w:rPr>
        <w:t xml:space="preserve"> Y, Lu X, Anwar F, </w:t>
      </w:r>
      <w:proofErr w:type="spellStart"/>
      <w:r w:rsidRPr="00F77519">
        <w:rPr>
          <w:rFonts w:asciiTheme="minorHAnsi" w:eastAsia="Wawati TC Regular" w:hAnsiTheme="minorHAnsi"/>
          <w:sz w:val="18"/>
          <w:szCs w:val="18"/>
        </w:rPr>
        <w:t>Hameed</w:t>
      </w:r>
      <w:proofErr w:type="spellEnd"/>
      <w:r w:rsidRPr="00F77519">
        <w:rPr>
          <w:rFonts w:asciiTheme="minorHAnsi" w:eastAsia="Wawati TC Regular" w:hAnsiTheme="minorHAnsi"/>
          <w:sz w:val="18"/>
          <w:szCs w:val="18"/>
        </w:rPr>
        <w:t xml:space="preserve"> S (2015) Characterization of free and conjugated phenolic compound in fruits of selected wild plants. Food Chemistry 190, 80-89.</w:t>
      </w:r>
    </w:p>
    <w:p w14:paraId="7B5A726A" w14:textId="77777777" w:rsidR="00752113" w:rsidRPr="00F77519" w:rsidRDefault="00752113" w:rsidP="00752113">
      <w:pPr>
        <w:ind w:left="720"/>
        <w:jc w:val="both"/>
        <w:rPr>
          <w:rFonts w:asciiTheme="minorHAnsi" w:eastAsia="Wawati TC Regular" w:hAnsiTheme="minorHAnsi"/>
          <w:sz w:val="18"/>
          <w:szCs w:val="18"/>
        </w:rPr>
      </w:pPr>
    </w:p>
    <w:p w14:paraId="57E43914" w14:textId="77777777" w:rsidR="00752113" w:rsidRPr="00F77519" w:rsidRDefault="00752113" w:rsidP="00752113">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R, Zhou S,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Deng Y (2015) Determination of </w:t>
      </w:r>
      <w:proofErr w:type="spellStart"/>
      <w:r w:rsidRPr="00F77519">
        <w:rPr>
          <w:rFonts w:asciiTheme="minorHAnsi" w:eastAsia="Times New Roman" w:hAnsiTheme="minorHAnsi"/>
          <w:sz w:val="18"/>
          <w:szCs w:val="18"/>
        </w:rPr>
        <w:lastRenderedPageBreak/>
        <w:t>creatinine</w:t>
      </w:r>
      <w:proofErr w:type="spellEnd"/>
      <w:r w:rsidRPr="00F77519">
        <w:rPr>
          <w:rFonts w:asciiTheme="minorHAnsi" w:eastAsia="Times New Roman" w:hAnsiTheme="minorHAnsi"/>
          <w:sz w:val="18"/>
          <w:szCs w:val="18"/>
        </w:rPr>
        <w:t>, uric and ascorbic acid in bovine milk and orange juice by hydrophilic interaction HPLC. Food Chemistry 182, 242-245.</w:t>
      </w:r>
    </w:p>
    <w:p w14:paraId="696E95BF" w14:textId="77777777" w:rsidR="00752113" w:rsidRPr="00F77519" w:rsidRDefault="00752113" w:rsidP="00752113">
      <w:pPr>
        <w:jc w:val="both"/>
        <w:rPr>
          <w:rFonts w:asciiTheme="minorHAnsi" w:eastAsia="Wawati TC Regular" w:hAnsiTheme="minorHAnsi"/>
          <w:sz w:val="18"/>
          <w:szCs w:val="18"/>
        </w:rPr>
      </w:pPr>
    </w:p>
    <w:p w14:paraId="5273A64A" w14:textId="77777777" w:rsidR="00752113" w:rsidRPr="00F77519" w:rsidRDefault="00752113" w:rsidP="00752113">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(2014) (Eds.), High-Performance Liquid Chromatography (HPLC): Principles, Procedures and Practices. Nova Science Publishers, Inc., New York, USA.</w:t>
      </w:r>
    </w:p>
    <w:p w14:paraId="39BF3FEC" w14:textId="77777777" w:rsidR="00752113" w:rsidRPr="00F77519" w:rsidRDefault="00752113" w:rsidP="00752113">
      <w:pPr>
        <w:jc w:val="both"/>
        <w:rPr>
          <w:rFonts w:asciiTheme="minorHAnsi" w:eastAsia="Wawati TC Regular" w:hAnsiTheme="minorHAnsi"/>
          <w:sz w:val="18"/>
          <w:szCs w:val="18"/>
        </w:rPr>
      </w:pPr>
    </w:p>
    <w:p w14:paraId="79040ECE" w14:textId="77777777" w:rsidR="00752113" w:rsidRPr="00F77519" w:rsidRDefault="00752113" w:rsidP="00752113">
      <w:pPr>
        <w:numPr>
          <w:ilvl w:val="0"/>
          <w:numId w:val="4"/>
        </w:numPr>
        <w:jc w:val="both"/>
        <w:rPr>
          <w:rFonts w:asciiTheme="minorHAnsi" w:eastAsia="Wawati TC Regular" w:hAnsiTheme="minorHAnsi"/>
          <w:sz w:val="18"/>
          <w:szCs w:val="18"/>
        </w:rPr>
      </w:pPr>
      <w:r w:rsidRPr="00F77519">
        <w:rPr>
          <w:rFonts w:asciiTheme="minorHAnsi" w:eastAsia="Times New Roman" w:hAnsiTheme="minorHAnsi"/>
          <w:sz w:val="18"/>
          <w:szCs w:val="18"/>
        </w:rPr>
        <w:t xml:space="preserve">Wang C,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Vinson JA, Deng Y (2012) Absorption and excretion of cranberry-derived </w:t>
      </w:r>
      <w:proofErr w:type="spellStart"/>
      <w:r w:rsidRPr="00F77519">
        <w:rPr>
          <w:rFonts w:asciiTheme="minorHAnsi" w:eastAsia="Times New Roman" w:hAnsiTheme="minorHAnsi"/>
          <w:sz w:val="18"/>
          <w:szCs w:val="18"/>
        </w:rPr>
        <w:t>phenolics</w:t>
      </w:r>
      <w:proofErr w:type="spellEnd"/>
      <w:r w:rsidRPr="00F77519">
        <w:rPr>
          <w:rFonts w:asciiTheme="minorHAnsi" w:eastAsia="Times New Roman" w:hAnsiTheme="minorHAnsi"/>
          <w:sz w:val="18"/>
          <w:szCs w:val="18"/>
        </w:rPr>
        <w:t xml:space="preserve"> in humans. Food Chemistry 132, 1420-1428.</w:t>
      </w:r>
    </w:p>
    <w:p w14:paraId="2BB8FF61" w14:textId="77777777" w:rsidR="00752113" w:rsidRPr="00F77519" w:rsidRDefault="00752113" w:rsidP="00752113">
      <w:pPr>
        <w:jc w:val="both"/>
        <w:rPr>
          <w:rFonts w:asciiTheme="minorHAnsi" w:eastAsia="Wawati TC Regular" w:hAnsiTheme="minorHAnsi"/>
          <w:sz w:val="18"/>
          <w:szCs w:val="18"/>
        </w:rPr>
      </w:pPr>
    </w:p>
    <w:p w14:paraId="732A0088" w14:textId="77777777" w:rsidR="00752113" w:rsidRPr="00F77519" w:rsidRDefault="00752113" w:rsidP="00752113">
      <w:pPr>
        <w:numPr>
          <w:ilvl w:val="0"/>
          <w:numId w:val="4"/>
        </w:numPr>
        <w:jc w:val="both"/>
        <w:rPr>
          <w:rFonts w:asciiTheme="minorHAnsi" w:eastAsia="Wawati TC Regular" w:hAnsiTheme="minorHAnsi"/>
          <w:sz w:val="18"/>
          <w:szCs w:val="18"/>
        </w:rPr>
      </w:pPr>
      <w:r w:rsidRPr="00F77519">
        <w:rPr>
          <w:rFonts w:asciiTheme="minorHAnsi" w:hAnsiTheme="minorHAnsi"/>
          <w:sz w:val="18"/>
          <w:szCs w:val="18"/>
        </w:rPr>
        <w:t xml:space="preserve">Wang C, </w:t>
      </w:r>
      <w:proofErr w:type="spellStart"/>
      <w:r w:rsidRPr="00F77519">
        <w:rPr>
          <w:rFonts w:asciiTheme="minorHAnsi" w:hAnsiTheme="minorHAnsi"/>
          <w:sz w:val="18"/>
          <w:szCs w:val="18"/>
        </w:rPr>
        <w:t>Zuo</w:t>
      </w:r>
      <w:proofErr w:type="spellEnd"/>
      <w:r w:rsidRPr="00F77519">
        <w:rPr>
          <w:rFonts w:asciiTheme="minorHAnsi" w:hAnsiTheme="minorHAnsi"/>
          <w:sz w:val="18"/>
          <w:szCs w:val="18"/>
        </w:rPr>
        <w:t xml:space="preserve"> Y (2011) Ultrasound-assisted hydrolysis and gas chromatography-mass spectrometric determination of phenolic compounds in cranberry products. Food Chemistry 128, 562-568.</w:t>
      </w:r>
    </w:p>
    <w:p w14:paraId="2D634882" w14:textId="77777777" w:rsidR="00752113" w:rsidRPr="00F77519" w:rsidRDefault="00752113" w:rsidP="00752113">
      <w:pPr>
        <w:jc w:val="both"/>
        <w:rPr>
          <w:rFonts w:asciiTheme="minorHAnsi" w:eastAsia="Wawati TC Regular" w:hAnsiTheme="minorHAnsi"/>
          <w:sz w:val="18"/>
          <w:szCs w:val="18"/>
        </w:rPr>
      </w:pPr>
    </w:p>
    <w:p w14:paraId="54E17AAB" w14:textId="77777777" w:rsidR="00752113" w:rsidRPr="00F77519" w:rsidRDefault="00752113" w:rsidP="00752113">
      <w:pPr>
        <w:numPr>
          <w:ilvl w:val="0"/>
          <w:numId w:val="4"/>
        </w:numPr>
        <w:jc w:val="both"/>
        <w:rPr>
          <w:rFonts w:asciiTheme="minorHAnsi" w:eastAsia="Wawati TC Regular" w:hAnsiTheme="minorHAnsi"/>
          <w:sz w:val="18"/>
          <w:szCs w:val="18"/>
        </w:rPr>
      </w:pPr>
      <w:r w:rsidRPr="00F77519">
        <w:rPr>
          <w:rFonts w:asciiTheme="minorHAnsi" w:eastAsia="Times New Roman" w:hAnsiTheme="minorHAnsi"/>
          <w:sz w:val="18"/>
          <w:szCs w:val="18"/>
        </w:rPr>
        <w:t xml:space="preserve">Jiao Y,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(2009) Ultrasonic extraction and HPLC determination of </w:t>
      </w:r>
      <w:proofErr w:type="spellStart"/>
      <w:r w:rsidRPr="00F77519">
        <w:rPr>
          <w:rFonts w:asciiTheme="minorHAnsi" w:eastAsia="Times New Roman" w:hAnsiTheme="minorHAnsi"/>
          <w:sz w:val="18"/>
          <w:szCs w:val="18"/>
        </w:rPr>
        <w:t>anthraquinones</w:t>
      </w:r>
      <w:proofErr w:type="spellEnd"/>
      <w:r w:rsidRPr="00F77519">
        <w:rPr>
          <w:rFonts w:asciiTheme="minorHAnsi" w:eastAsia="Times New Roman" w:hAnsiTheme="minorHAnsi"/>
          <w:sz w:val="18"/>
          <w:szCs w:val="18"/>
        </w:rPr>
        <w:t>, aloe-</w:t>
      </w:r>
      <w:proofErr w:type="spellStart"/>
      <w:r w:rsidRPr="00F77519">
        <w:rPr>
          <w:rFonts w:asciiTheme="minorHAnsi" w:eastAsia="Times New Roman" w:hAnsiTheme="minorHAnsi"/>
          <w:sz w:val="18"/>
          <w:szCs w:val="18"/>
        </w:rPr>
        <w:t>emodine</w:t>
      </w:r>
      <w:proofErr w:type="spell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sz w:val="18"/>
          <w:szCs w:val="18"/>
        </w:rPr>
        <w:t>emodine</w:t>
      </w:r>
      <w:proofErr w:type="spellEnd"/>
      <w:r w:rsidRPr="00F77519">
        <w:rPr>
          <w:rFonts w:asciiTheme="minorHAnsi" w:eastAsia="Times New Roman" w:hAnsiTheme="minorHAnsi"/>
          <w:sz w:val="18"/>
          <w:szCs w:val="18"/>
        </w:rPr>
        <w:t xml:space="preserve">, </w:t>
      </w:r>
      <w:proofErr w:type="spellStart"/>
      <w:proofErr w:type="gramStart"/>
      <w:r w:rsidRPr="00F77519">
        <w:rPr>
          <w:rFonts w:asciiTheme="minorHAnsi" w:eastAsia="Times New Roman" w:hAnsiTheme="minorHAnsi"/>
          <w:sz w:val="18"/>
          <w:szCs w:val="18"/>
        </w:rPr>
        <w:t>rheine</w:t>
      </w:r>
      <w:proofErr w:type="spellEnd"/>
      <w:proofErr w:type="gram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sz w:val="18"/>
          <w:szCs w:val="18"/>
        </w:rPr>
        <w:t>chrysophanol</w:t>
      </w:r>
      <w:proofErr w:type="spellEnd"/>
      <w:r w:rsidRPr="00F77519">
        <w:rPr>
          <w:rFonts w:asciiTheme="minorHAnsi" w:eastAsia="Times New Roman" w:hAnsiTheme="minorHAnsi"/>
          <w:sz w:val="18"/>
          <w:szCs w:val="18"/>
        </w:rPr>
        <w:t xml:space="preserve">, and </w:t>
      </w:r>
      <w:proofErr w:type="spellStart"/>
      <w:r w:rsidRPr="00F77519">
        <w:rPr>
          <w:rFonts w:asciiTheme="minorHAnsi" w:eastAsia="Times New Roman" w:hAnsiTheme="minorHAnsi"/>
          <w:sz w:val="18"/>
          <w:szCs w:val="18"/>
        </w:rPr>
        <w:t>physcione</w:t>
      </w:r>
      <w:proofErr w:type="spellEnd"/>
      <w:r w:rsidRPr="00F77519">
        <w:rPr>
          <w:rFonts w:asciiTheme="minorHAnsi" w:eastAsia="Times New Roman" w:hAnsiTheme="minorHAnsi"/>
          <w:sz w:val="18"/>
          <w:szCs w:val="18"/>
        </w:rPr>
        <w:t xml:space="preserve">, in Radix </w:t>
      </w:r>
      <w:proofErr w:type="spellStart"/>
      <w:r w:rsidRPr="00F77519">
        <w:rPr>
          <w:rFonts w:asciiTheme="minorHAnsi" w:eastAsia="Times New Roman" w:hAnsiTheme="minorHAnsi"/>
          <w:sz w:val="18"/>
          <w:szCs w:val="18"/>
        </w:rPr>
        <w:t>Polygoni</w:t>
      </w:r>
      <w:proofErr w:type="spell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sz w:val="18"/>
          <w:szCs w:val="18"/>
        </w:rPr>
        <w:t>multiflori</w:t>
      </w:r>
      <w:proofErr w:type="spell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i/>
          <w:sz w:val="18"/>
          <w:szCs w:val="18"/>
        </w:rPr>
        <w:t>Phytochem</w:t>
      </w:r>
      <w:proofErr w:type="spellEnd"/>
      <w:r w:rsidRPr="00F77519">
        <w:rPr>
          <w:rFonts w:asciiTheme="minorHAnsi" w:eastAsia="Times New Roman" w:hAnsiTheme="minorHAnsi"/>
          <w:i/>
          <w:sz w:val="18"/>
          <w:szCs w:val="18"/>
        </w:rPr>
        <w:t>. Anal.</w:t>
      </w:r>
      <w:r w:rsidRPr="00F77519">
        <w:rPr>
          <w:rFonts w:asciiTheme="minorHAnsi" w:eastAsia="Times New Roman" w:hAnsiTheme="minorHAnsi"/>
          <w:sz w:val="18"/>
          <w:szCs w:val="18"/>
        </w:rPr>
        <w:t xml:space="preserve"> 20, 272-278.</w:t>
      </w:r>
    </w:p>
    <w:p w14:paraId="692BCAFC" w14:textId="77777777" w:rsidR="00752113" w:rsidRPr="00F77519" w:rsidRDefault="00752113" w:rsidP="00752113">
      <w:pPr>
        <w:jc w:val="both"/>
        <w:rPr>
          <w:rFonts w:asciiTheme="minorHAnsi" w:eastAsia="Wawati TC Regular" w:hAnsiTheme="minorHAnsi"/>
          <w:sz w:val="18"/>
          <w:szCs w:val="18"/>
        </w:rPr>
      </w:pPr>
    </w:p>
    <w:p w14:paraId="50170FB8" w14:textId="77777777" w:rsidR="00752113" w:rsidRPr="00F77519" w:rsidRDefault="00752113" w:rsidP="00752113">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Wang C, Lin Y, </w:t>
      </w:r>
      <w:proofErr w:type="spellStart"/>
      <w:r w:rsidRPr="00F77519">
        <w:rPr>
          <w:rFonts w:asciiTheme="minorHAnsi" w:eastAsia="Times New Roman" w:hAnsiTheme="minorHAnsi"/>
          <w:sz w:val="18"/>
          <w:szCs w:val="18"/>
        </w:rPr>
        <w:t>Guo</w:t>
      </w:r>
      <w:proofErr w:type="spellEnd"/>
      <w:r w:rsidRPr="00F77519">
        <w:rPr>
          <w:rFonts w:asciiTheme="minorHAnsi" w:eastAsia="Times New Roman" w:hAnsiTheme="minorHAnsi"/>
          <w:sz w:val="18"/>
          <w:szCs w:val="18"/>
        </w:rPr>
        <w:t xml:space="preserve"> J, Deng Y (2008) Simultaneous determination of </w:t>
      </w:r>
      <w:proofErr w:type="spellStart"/>
      <w:r w:rsidRPr="00F77519">
        <w:rPr>
          <w:rFonts w:asciiTheme="minorHAnsi" w:eastAsia="Times New Roman" w:hAnsiTheme="minorHAnsi"/>
          <w:sz w:val="18"/>
          <w:szCs w:val="18"/>
        </w:rPr>
        <w:t>anthraquinones</w:t>
      </w:r>
      <w:proofErr w:type="spellEnd"/>
      <w:r w:rsidRPr="00F77519">
        <w:rPr>
          <w:rFonts w:asciiTheme="minorHAnsi" w:eastAsia="Times New Roman" w:hAnsiTheme="minorHAnsi"/>
          <w:sz w:val="18"/>
          <w:szCs w:val="18"/>
        </w:rPr>
        <w:t xml:space="preserve"> in radix </w:t>
      </w:r>
      <w:proofErr w:type="spellStart"/>
      <w:r w:rsidRPr="00F77519">
        <w:rPr>
          <w:rFonts w:asciiTheme="minorHAnsi" w:eastAsia="Times New Roman" w:hAnsiTheme="minorHAnsi"/>
          <w:i/>
          <w:sz w:val="18"/>
          <w:szCs w:val="18"/>
        </w:rPr>
        <w:t>Polygoni</w:t>
      </w:r>
      <w:proofErr w:type="spellEnd"/>
      <w:r w:rsidRPr="00F77519">
        <w:rPr>
          <w:rFonts w:asciiTheme="minorHAnsi" w:eastAsia="Times New Roman" w:hAnsiTheme="minorHAnsi"/>
          <w:i/>
          <w:sz w:val="18"/>
          <w:szCs w:val="18"/>
        </w:rPr>
        <w:t xml:space="preserve"> </w:t>
      </w:r>
      <w:proofErr w:type="spellStart"/>
      <w:r w:rsidRPr="00F77519">
        <w:rPr>
          <w:rFonts w:asciiTheme="minorHAnsi" w:eastAsia="Times New Roman" w:hAnsiTheme="minorHAnsi"/>
          <w:i/>
          <w:sz w:val="18"/>
          <w:szCs w:val="18"/>
        </w:rPr>
        <w:t>multiflori</w:t>
      </w:r>
      <w:proofErr w:type="spellEnd"/>
      <w:r w:rsidR="00D067C3">
        <w:rPr>
          <w:rFonts w:asciiTheme="minorHAnsi" w:eastAsia="Times New Roman" w:hAnsiTheme="minorHAnsi"/>
          <w:sz w:val="18"/>
          <w:szCs w:val="18"/>
        </w:rPr>
        <w:t xml:space="preserve"> by capillary gas </w:t>
      </w:r>
      <w:proofErr w:type="spellStart"/>
      <w:r w:rsidR="00D067C3">
        <w:rPr>
          <w:rFonts w:asciiTheme="minorHAnsi" w:eastAsia="Times New Roman" w:hAnsiTheme="minorHAnsi"/>
          <w:sz w:val="18"/>
          <w:szCs w:val="18"/>
        </w:rPr>
        <w:t>chromatogr</w:t>
      </w:r>
      <w:proofErr w:type="spellEnd"/>
      <w:r w:rsidRPr="00F77519">
        <w:rPr>
          <w:rFonts w:asciiTheme="minorHAnsi" w:eastAsia="Times New Roman" w:hAnsiTheme="minorHAnsi"/>
          <w:sz w:val="18"/>
          <w:szCs w:val="18"/>
        </w:rPr>
        <w:t xml:space="preserve"> coupled with flame ionization and mass spectrometric detection. J. </w:t>
      </w:r>
      <w:proofErr w:type="spellStart"/>
      <w:r w:rsidRPr="00F77519">
        <w:rPr>
          <w:rFonts w:asciiTheme="minorHAnsi" w:eastAsia="Times New Roman" w:hAnsiTheme="minorHAnsi"/>
          <w:sz w:val="18"/>
          <w:szCs w:val="18"/>
        </w:rPr>
        <w:t>Chromatogr</w:t>
      </w:r>
      <w:proofErr w:type="spellEnd"/>
      <w:r w:rsidRPr="00F77519">
        <w:rPr>
          <w:rFonts w:asciiTheme="minorHAnsi" w:eastAsia="Times New Roman" w:hAnsiTheme="minorHAnsi"/>
          <w:sz w:val="18"/>
          <w:szCs w:val="18"/>
        </w:rPr>
        <w:t>. A 1200, 43-48.</w:t>
      </w:r>
    </w:p>
    <w:p w14:paraId="1FC2EE72" w14:textId="77777777" w:rsidR="00752113" w:rsidRPr="00F77519" w:rsidRDefault="00752113" w:rsidP="00752113">
      <w:pPr>
        <w:jc w:val="both"/>
        <w:rPr>
          <w:rFonts w:asciiTheme="minorHAnsi" w:eastAsia="Wawati TC Regular" w:hAnsiTheme="minorHAnsi"/>
          <w:sz w:val="18"/>
          <w:szCs w:val="18"/>
        </w:rPr>
      </w:pPr>
    </w:p>
    <w:p w14:paraId="144254C6" w14:textId="77777777" w:rsidR="00752113" w:rsidRPr="00F77519" w:rsidRDefault="00752113" w:rsidP="00752113">
      <w:pPr>
        <w:numPr>
          <w:ilvl w:val="0"/>
          <w:numId w:val="4"/>
        </w:numPr>
        <w:jc w:val="both"/>
        <w:rPr>
          <w:rFonts w:asciiTheme="minorHAnsi" w:eastAsia="Wawati TC Regular" w:hAnsiTheme="minorHAnsi"/>
          <w:sz w:val="18"/>
          <w:szCs w:val="18"/>
        </w:rPr>
      </w:pPr>
      <w:r w:rsidRPr="00F77519">
        <w:rPr>
          <w:rFonts w:asciiTheme="minorHAnsi" w:eastAsia="Times New Roman" w:hAnsiTheme="minorHAnsi"/>
          <w:sz w:val="18"/>
          <w:szCs w:val="18"/>
        </w:rPr>
        <w:t xml:space="preserve">Chen H,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(2007) Identification of </w:t>
      </w:r>
      <w:proofErr w:type="spellStart"/>
      <w:r w:rsidRPr="00F77519">
        <w:rPr>
          <w:rFonts w:asciiTheme="minorHAnsi" w:eastAsia="Times New Roman" w:hAnsiTheme="minorHAnsi"/>
          <w:sz w:val="18"/>
          <w:szCs w:val="18"/>
        </w:rPr>
        <w:t>flavonol</w:t>
      </w:r>
      <w:proofErr w:type="spellEnd"/>
      <w:r w:rsidRPr="00F77519">
        <w:rPr>
          <w:rFonts w:asciiTheme="minorHAnsi" w:eastAsia="Times New Roman" w:hAnsiTheme="minorHAnsi"/>
          <w:sz w:val="18"/>
          <w:szCs w:val="18"/>
        </w:rPr>
        <w:t xml:space="preserve"> glycosides in American cranberry fruit. Food Chemistry 101, 1357-1364. </w:t>
      </w:r>
    </w:p>
    <w:p w14:paraId="4FBADCBC" w14:textId="77777777" w:rsidR="00752113" w:rsidRPr="00F77519" w:rsidRDefault="00752113" w:rsidP="00752113">
      <w:pPr>
        <w:jc w:val="both"/>
        <w:rPr>
          <w:rFonts w:asciiTheme="minorHAnsi" w:eastAsia="Wawati TC Regular" w:hAnsiTheme="minorHAnsi"/>
          <w:sz w:val="18"/>
          <w:szCs w:val="18"/>
        </w:rPr>
      </w:pPr>
    </w:p>
    <w:p w14:paraId="4EB309F6" w14:textId="77777777" w:rsidR="00752113" w:rsidRPr="00F77519" w:rsidRDefault="00752113" w:rsidP="00752113">
      <w:pPr>
        <w:numPr>
          <w:ilvl w:val="0"/>
          <w:numId w:val="4"/>
        </w:numPr>
        <w:jc w:val="both"/>
        <w:rPr>
          <w:rFonts w:asciiTheme="minorHAnsi" w:eastAsia="Wawati TC Regular" w:hAnsiTheme="minorHAnsi"/>
          <w:sz w:val="18"/>
          <w:szCs w:val="18"/>
        </w:rPr>
      </w:pPr>
      <w:r w:rsidRPr="00F77519">
        <w:rPr>
          <w:rFonts w:asciiTheme="minorHAnsi" w:hAnsiTheme="minorHAnsi"/>
          <w:sz w:val="18"/>
          <w:szCs w:val="18"/>
        </w:rPr>
        <w:t xml:space="preserve">Zhang K, </w:t>
      </w:r>
      <w:proofErr w:type="spellStart"/>
      <w:r w:rsidRPr="00F77519">
        <w:rPr>
          <w:rFonts w:asciiTheme="minorHAnsi" w:hAnsiTheme="minorHAnsi"/>
          <w:sz w:val="18"/>
          <w:szCs w:val="18"/>
        </w:rPr>
        <w:t>Zuo</w:t>
      </w:r>
      <w:proofErr w:type="spellEnd"/>
      <w:r w:rsidRPr="00F77519">
        <w:rPr>
          <w:rFonts w:asciiTheme="minorHAnsi" w:hAnsiTheme="minorHAnsi"/>
          <w:sz w:val="18"/>
          <w:szCs w:val="18"/>
        </w:rPr>
        <w:t xml:space="preserve"> Y (2004) GC-MS Determination of Flavonoids and Phenolic and Benzoic Acids in Human Plasma after Consumption of Cranberry Juice. </w:t>
      </w:r>
      <w:r w:rsidRPr="00F77519">
        <w:rPr>
          <w:rFonts w:asciiTheme="minorHAnsi" w:eastAsia="Times New Roman" w:hAnsiTheme="minorHAnsi"/>
          <w:i/>
          <w:sz w:val="18"/>
          <w:szCs w:val="18"/>
        </w:rPr>
        <w:t>J. Agriculture and Food Chemistry</w:t>
      </w:r>
      <w:r w:rsidRPr="00F77519">
        <w:rPr>
          <w:rFonts w:asciiTheme="minorHAnsi" w:eastAsia="Times New Roman" w:hAnsiTheme="minorHAnsi"/>
          <w:sz w:val="18"/>
          <w:szCs w:val="18"/>
        </w:rPr>
        <w:t xml:space="preserve"> 52, 222-227.</w:t>
      </w:r>
    </w:p>
    <w:p w14:paraId="45921143" w14:textId="77777777" w:rsidR="00752113" w:rsidRPr="00F77519" w:rsidRDefault="00752113" w:rsidP="00752113">
      <w:pPr>
        <w:jc w:val="both"/>
        <w:rPr>
          <w:rFonts w:asciiTheme="minorHAnsi" w:eastAsia="Wawati TC Regular" w:hAnsiTheme="minorHAnsi"/>
          <w:sz w:val="18"/>
          <w:szCs w:val="18"/>
        </w:rPr>
      </w:pPr>
    </w:p>
    <w:p w14:paraId="0FAD0A97" w14:textId="3B6AB17D" w:rsidR="00752113" w:rsidRPr="00F77519" w:rsidRDefault="00752113" w:rsidP="00752113">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Wang C, Zhan J (2002) Separation, characterization and quantitation of benzoate and phenolic antioxidants in American cranberry fruit. </w:t>
      </w:r>
      <w:r w:rsidR="0033150E">
        <w:rPr>
          <w:rFonts w:asciiTheme="minorHAnsi" w:eastAsia="Times New Roman" w:hAnsiTheme="minorHAnsi"/>
          <w:i/>
          <w:sz w:val="18"/>
          <w:szCs w:val="18"/>
        </w:rPr>
        <w:t xml:space="preserve">J. </w:t>
      </w:r>
      <w:proofErr w:type="spellStart"/>
      <w:r w:rsidR="0033150E">
        <w:rPr>
          <w:rFonts w:asciiTheme="minorHAnsi" w:eastAsia="Times New Roman" w:hAnsiTheme="minorHAnsi"/>
          <w:i/>
          <w:sz w:val="18"/>
          <w:szCs w:val="18"/>
        </w:rPr>
        <w:t>Agric</w:t>
      </w:r>
      <w:proofErr w:type="spellEnd"/>
      <w:r w:rsidR="0033150E">
        <w:rPr>
          <w:rFonts w:asciiTheme="minorHAnsi" w:eastAsia="Times New Roman" w:hAnsiTheme="minorHAnsi"/>
          <w:i/>
          <w:sz w:val="18"/>
          <w:szCs w:val="18"/>
        </w:rPr>
        <w:t xml:space="preserve"> &amp; Food </w:t>
      </w:r>
      <w:proofErr w:type="spellStart"/>
      <w:r w:rsidR="0033150E">
        <w:rPr>
          <w:rFonts w:asciiTheme="minorHAnsi" w:eastAsia="Times New Roman" w:hAnsiTheme="minorHAnsi"/>
          <w:i/>
          <w:sz w:val="18"/>
          <w:szCs w:val="18"/>
        </w:rPr>
        <w:t>Chem</w:t>
      </w:r>
      <w:proofErr w:type="spellEnd"/>
      <w:r w:rsidRPr="00F77519">
        <w:rPr>
          <w:rFonts w:asciiTheme="minorHAnsi" w:eastAsia="Times New Roman" w:hAnsiTheme="minorHAnsi"/>
          <w:sz w:val="18"/>
          <w:szCs w:val="18"/>
        </w:rPr>
        <w:t xml:space="preserve"> 50, 3789-3794.</w:t>
      </w:r>
    </w:p>
    <w:p w14:paraId="7C7BEEC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983999D" w14:textId="77777777" w:rsidR="00AE3E37" w:rsidRDefault="00AE3E37">
      <w:pPr>
        <w:pStyle w:val="BodyText"/>
        <w:rPr>
          <w:rFonts w:ascii="Calibri"/>
          <w:sz w:val="20"/>
        </w:rPr>
      </w:pPr>
    </w:p>
    <w:p w14:paraId="08A8EFB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FD5DA9A" wp14:editId="6A3013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bookmarkStart w:id="1" w:name="_GoBack"/>
      <w:bookmarkEnd w:id="1"/>
    </w:p>
    <w:p w14:paraId="5401AEA7" w14:textId="77777777" w:rsidR="00AE3E37" w:rsidRDefault="008756E6" w:rsidP="00404E5B">
      <w:pPr>
        <w:spacing w:before="92"/>
        <w:ind w:right="4234"/>
        <w:rPr>
          <w:rFonts w:ascii="Arial"/>
        </w:rPr>
      </w:pPr>
      <w:r>
        <w:rPr>
          <w:noProof/>
        </w:rPr>
        <w:t xml:space="preserve">              </w:t>
      </w:r>
      <w:r w:rsidR="00D067C3">
        <w:rPr>
          <w:noProof/>
        </w:rPr>
        <w:drawing>
          <wp:inline distT="0" distB="0" distL="0" distR="0" wp14:anchorId="51716883" wp14:editId="06C34E4C">
            <wp:extent cx="660400" cy="805366"/>
            <wp:effectExtent l="0" t="0" r="0" b="762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733" cy="805772"/>
                    </a:xfrm>
                    <a:prstGeom prst="rect">
                      <a:avLst/>
                    </a:prstGeom>
                    <a:noFill/>
                    <a:ln>
                      <a:noFill/>
                    </a:ln>
                  </pic:spPr>
                </pic:pic>
              </a:graphicData>
            </a:graphic>
          </wp:inline>
        </w:drawing>
      </w:r>
      <w:r w:rsidR="00A9710C">
        <w:rPr>
          <w:rFonts w:ascii="Arial"/>
          <w:color w:val="BF5A14"/>
        </w:rPr>
        <w:t>Biography</w:t>
      </w:r>
      <w:r w:rsidR="00D067C3">
        <w:rPr>
          <w:rFonts w:ascii="Arial"/>
          <w:color w:val="BF5A14"/>
        </w:rPr>
        <w:t xml:space="preserve"> </w:t>
      </w:r>
    </w:p>
    <w:p w14:paraId="5F960EB6" w14:textId="77777777" w:rsidR="00AE3E37" w:rsidRDefault="00D067C3">
      <w:pPr>
        <w:spacing w:before="41" w:line="154" w:lineRule="exact"/>
        <w:ind w:left="213" w:right="231"/>
        <w:jc w:val="both"/>
        <w:rPr>
          <w:rFonts w:ascii="Arial"/>
          <w:sz w:val="14"/>
        </w:rPr>
      </w:pPr>
      <w:proofErr w:type="spellStart"/>
      <w:r w:rsidRPr="00D067C3">
        <w:rPr>
          <w:rFonts w:ascii="Arial" w:hAnsi="Arial" w:cs="Arial"/>
          <w:sz w:val="14"/>
          <w:szCs w:val="14"/>
        </w:rPr>
        <w:t>Yuegang</w:t>
      </w:r>
      <w:proofErr w:type="spellEnd"/>
      <w:r w:rsidRPr="00D067C3">
        <w:rPr>
          <w:rFonts w:ascii="Arial" w:hAnsi="Arial" w:cs="Arial"/>
          <w:sz w:val="14"/>
          <w:szCs w:val="14"/>
        </w:rPr>
        <w:t xml:space="preserve"> </w:t>
      </w:r>
      <w:proofErr w:type="spellStart"/>
      <w:r w:rsidRPr="00D067C3">
        <w:rPr>
          <w:rFonts w:ascii="Arial" w:hAnsi="Arial" w:cs="Arial"/>
          <w:sz w:val="14"/>
          <w:szCs w:val="14"/>
        </w:rPr>
        <w:t>Zuo</w:t>
      </w:r>
      <w:proofErr w:type="spellEnd"/>
      <w:r w:rsidRPr="00D067C3">
        <w:rPr>
          <w:rFonts w:ascii="Arial" w:hAnsi="Arial" w:cs="Arial"/>
          <w:sz w:val="14"/>
          <w:szCs w:val="14"/>
        </w:rPr>
        <w:t xml:space="preserve"> is currently a Full Professor in analytical and environmental chemistry and Director of Graduate Programs at Department of Chemistry and Biochemistry, University of Massachusetts Dartmouth. He received his B.S. degree in chemistry from Wuhan University in 1982, his M.S. degree in environmental chemistry from the Research Center for Eco-Environmental Sciences, Chinese Academy of Sciences, in 1984, and his Ph.D. in environmental science from Swiss Federal Institute of Technology Zurich in 1992. Most of his recent research has focused on separation, identification and quantification of endocrine disrupting pollutants and phenolic antioxidants in plants and seafood as well as in the related environments and examine their occurrence, sources, distribution, transportation and fate in the </w:t>
      </w:r>
      <w:proofErr w:type="spellStart"/>
      <w:r w:rsidRPr="00D067C3">
        <w:rPr>
          <w:rFonts w:ascii="Arial" w:hAnsi="Arial" w:cs="Arial"/>
          <w:sz w:val="14"/>
          <w:szCs w:val="14"/>
        </w:rPr>
        <w:t>biochemsphere</w:t>
      </w:r>
      <w:proofErr w:type="spellEnd"/>
      <w:r w:rsidRPr="00D067C3">
        <w:rPr>
          <w:rFonts w:ascii="Arial" w:hAnsi="Arial" w:cs="Arial"/>
          <w:sz w:val="14"/>
          <w:szCs w:val="14"/>
        </w:rPr>
        <w:t>. He has published over 70 peer-reviewed papers in prestigious international scientific journals such as Science, and Environmental Science and Technology</w:t>
      </w:r>
      <w:proofErr w:type="gramStart"/>
      <w:r w:rsidRPr="00D067C3">
        <w:rPr>
          <w:rFonts w:ascii="Arial" w:hAnsi="Arial" w:cs="Arial"/>
          <w:sz w:val="14"/>
          <w:szCs w:val="14"/>
        </w:rPr>
        <w:t>.</w:t>
      </w:r>
      <w:r w:rsidR="00A9710C" w:rsidRPr="00D067C3">
        <w:rPr>
          <w:rFonts w:ascii="Arial" w:hAnsi="Arial" w:cs="Arial"/>
          <w:sz w:val="14"/>
          <w:szCs w:val="14"/>
        </w:rPr>
        <w:t>.</w:t>
      </w:r>
      <w:proofErr w:type="gramEnd"/>
    </w:p>
    <w:p w14:paraId="1ABF585A" w14:textId="77777777" w:rsidR="00AE3E37" w:rsidRDefault="00A9710C">
      <w:pPr>
        <w:spacing w:before="62"/>
        <w:ind w:left="4217" w:right="4235"/>
        <w:jc w:val="center"/>
        <w:rPr>
          <w:rFonts w:ascii="Arial"/>
          <w:sz w:val="14"/>
        </w:rPr>
      </w:pPr>
      <w:r>
        <w:rPr>
          <w:rFonts w:ascii="Arial"/>
          <w:sz w:val="14"/>
        </w:rPr>
        <w:t xml:space="preserve">Email: </w:t>
      </w:r>
      <w:r w:rsidR="00D067C3">
        <w:rPr>
          <w:rFonts w:ascii="Arial"/>
          <w:sz w:val="14"/>
        </w:rPr>
        <w:t>yzuo@umassd.edu</w:t>
      </w:r>
    </w:p>
    <w:p w14:paraId="39AD2E5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D9F71E2" wp14:editId="38E0AE6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3D6A70D" w14:textId="77777777" w:rsidR="00AE3E37" w:rsidRDefault="00AE3E37">
      <w:pPr>
        <w:pStyle w:val="BodyText"/>
        <w:rPr>
          <w:rFonts w:ascii="Arial"/>
          <w:sz w:val="20"/>
        </w:rPr>
      </w:pPr>
    </w:p>
    <w:p w14:paraId="1CD37E75" w14:textId="77777777" w:rsidR="00AE3E37" w:rsidRDefault="00AE3E37">
      <w:pPr>
        <w:pStyle w:val="BodyText"/>
        <w:rPr>
          <w:rFonts w:ascii="Arial"/>
          <w:sz w:val="20"/>
        </w:rPr>
      </w:pPr>
    </w:p>
    <w:p w14:paraId="78A71515" w14:textId="77777777" w:rsidR="00AE3E37" w:rsidRDefault="00AE3E37">
      <w:pPr>
        <w:pStyle w:val="BodyText"/>
        <w:spacing w:before="7"/>
        <w:rPr>
          <w:rFonts w:ascii="Arial"/>
          <w:sz w:val="29"/>
        </w:rPr>
      </w:pPr>
    </w:p>
    <w:p w14:paraId="3CE0CAE1" w14:textId="77777777" w:rsidR="00AE3E37" w:rsidRPr="00B21A57" w:rsidRDefault="00A9710C">
      <w:pPr>
        <w:spacing w:before="39"/>
        <w:ind w:left="100"/>
        <w:rPr>
          <w:rFonts w:ascii="Minion Pro"/>
          <w:b/>
          <w:sz w:val="20"/>
        </w:rPr>
      </w:pPr>
      <w:r w:rsidRPr="00B21A57">
        <w:rPr>
          <w:rFonts w:ascii="Minion Pro"/>
          <w:b/>
          <w:sz w:val="20"/>
        </w:rPr>
        <w:t>Notes/Comments:</w:t>
      </w:r>
    </w:p>
    <w:p w14:paraId="16D3E42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9E4211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77927" w14:textId="77777777" w:rsidR="00F77519" w:rsidRDefault="00F77519">
      <w:r>
        <w:separator/>
      </w:r>
    </w:p>
  </w:endnote>
  <w:endnote w:type="continuationSeparator" w:id="0">
    <w:p w14:paraId="3484B287" w14:textId="77777777" w:rsidR="00F77519" w:rsidRDefault="00F7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Wawati TC Regular">
    <w:panose1 w:val="040B0500000000000000"/>
    <w:charset w:val="00"/>
    <w:family w:val="auto"/>
    <w:pitch w:val="variable"/>
    <w:sig w:usb0="A00000FF" w:usb1="5889787B" w:usb2="00000016" w:usb3="00000000" w:csb0="00100003"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46C0F" w14:textId="77777777" w:rsidR="00F77519" w:rsidRDefault="00F7751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CE9AE6" wp14:editId="3C1927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2BAF2" w14:textId="77777777" w:rsidR="00F77519" w:rsidRPr="005B3A56" w:rsidRDefault="00F7751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DABF56" w14:textId="77777777" w:rsidR="00F77519" w:rsidRPr="005B3A56" w:rsidRDefault="00F7751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F77519" w:rsidRPr="005B3A56" w:rsidRDefault="00F7751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77519" w:rsidRPr="005B3A56" w:rsidRDefault="00F7751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BFF9C1F" wp14:editId="081517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1F189" w14:textId="77777777" w:rsidR="00F77519" w:rsidRPr="005B3A56" w:rsidRDefault="00F7751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1C066F" w14:textId="77777777" w:rsidR="00F77519" w:rsidRPr="005B3A56" w:rsidRDefault="00F7751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F77519" w:rsidRPr="005B3A56" w:rsidRDefault="00F7751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77519" w:rsidRPr="005B3A56" w:rsidRDefault="00F7751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2F5822" wp14:editId="2F54CD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79A96" w14:textId="77777777" w:rsidR="00F77519" w:rsidRPr="005B3A56" w:rsidRDefault="00F7751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6826520" w14:textId="77777777" w:rsidR="00F77519" w:rsidRPr="005B3A56" w:rsidRDefault="00F7751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F77519" w:rsidRPr="005B3A56" w:rsidRDefault="00F7751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77519" w:rsidRPr="005B3A56" w:rsidRDefault="00F7751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EEA27" w14:textId="77777777" w:rsidR="00F77519" w:rsidRDefault="00F77519">
      <w:r>
        <w:separator/>
      </w:r>
    </w:p>
  </w:footnote>
  <w:footnote w:type="continuationSeparator" w:id="0">
    <w:p w14:paraId="4A560F46" w14:textId="77777777" w:rsidR="00F77519" w:rsidRDefault="00F7751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4C653" w14:textId="77777777" w:rsidR="00F77519" w:rsidRDefault="00F7751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BE0388B" wp14:editId="43E61DC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AFDC7" w14:textId="77777777" w:rsidR="00F77519" w:rsidRPr="005B3A56" w:rsidRDefault="00F7751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F77519" w:rsidRPr="005B3A56" w:rsidRDefault="00F7751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E119A6F" wp14:editId="345E7C2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937AE" w14:textId="77777777" w:rsidR="00F77519" w:rsidRPr="005B3A56" w:rsidRDefault="00F7751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319F529" w14:textId="77777777" w:rsidR="00F77519" w:rsidRPr="005B3A56" w:rsidRDefault="00F7751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F77519" w:rsidRPr="005B3A56" w:rsidRDefault="00F7751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77519" w:rsidRPr="005B3A56" w:rsidRDefault="00F7751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2A6119B"/>
    <w:multiLevelType w:val="hybridMultilevel"/>
    <w:tmpl w:val="17F09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indowHeight" w:val="800"/>
    <w:docVar w:name="WindowLeft" w:val="483"/>
    <w:docVar w:name="WindowState" w:val="1"/>
    <w:docVar w:name="WindowTop" w:val="4"/>
    <w:docVar w:name="WindowWidth" w:val="923"/>
    <w:docVar w:name="WindowZoom" w:val="100"/>
  </w:docVars>
  <w:rsids>
    <w:rsidRoot w:val="00AE3E37"/>
    <w:rsid w:val="000219B3"/>
    <w:rsid w:val="000E2911"/>
    <w:rsid w:val="001263DF"/>
    <w:rsid w:val="00201421"/>
    <w:rsid w:val="00292ED9"/>
    <w:rsid w:val="0033150E"/>
    <w:rsid w:val="00404E5B"/>
    <w:rsid w:val="00414F7B"/>
    <w:rsid w:val="004355DC"/>
    <w:rsid w:val="004749B4"/>
    <w:rsid w:val="00494130"/>
    <w:rsid w:val="004F3523"/>
    <w:rsid w:val="004F56FC"/>
    <w:rsid w:val="005973B9"/>
    <w:rsid w:val="005B3A56"/>
    <w:rsid w:val="006060CE"/>
    <w:rsid w:val="0063497F"/>
    <w:rsid w:val="00752113"/>
    <w:rsid w:val="007660D1"/>
    <w:rsid w:val="00873DF0"/>
    <w:rsid w:val="00875604"/>
    <w:rsid w:val="008756E6"/>
    <w:rsid w:val="008A472F"/>
    <w:rsid w:val="009B2D44"/>
    <w:rsid w:val="00A07E82"/>
    <w:rsid w:val="00A9710C"/>
    <w:rsid w:val="00AE3E37"/>
    <w:rsid w:val="00B21A57"/>
    <w:rsid w:val="00C33602"/>
    <w:rsid w:val="00CD6F55"/>
    <w:rsid w:val="00CF162D"/>
    <w:rsid w:val="00D067C3"/>
    <w:rsid w:val="00DE3104"/>
    <w:rsid w:val="00F72EEA"/>
    <w:rsid w:val="00F77519"/>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EE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LineNumber">
    <w:name w:val="line number"/>
    <w:basedOn w:val="DefaultParagraphFont"/>
    <w:rsid w:val="00201421"/>
  </w:style>
  <w:style w:type="character" w:styleId="FollowedHyperlink">
    <w:name w:val="FollowedHyperlink"/>
    <w:basedOn w:val="DefaultParagraphFont"/>
    <w:uiPriority w:val="99"/>
    <w:semiHidden/>
    <w:unhideWhenUsed/>
    <w:rsid w:val="00D067C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LineNumber">
    <w:name w:val="line number"/>
    <w:basedOn w:val="DefaultParagraphFont"/>
    <w:rsid w:val="00201421"/>
  </w:style>
  <w:style w:type="character" w:styleId="FollowedHyperlink">
    <w:name w:val="FollowedHyperlink"/>
    <w:basedOn w:val="DefaultParagraphFont"/>
    <w:uiPriority w:val="99"/>
    <w:semiHidden/>
    <w:unhideWhenUsed/>
    <w:rsid w:val="00D067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4194</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CITS User</cp:lastModifiedBy>
  <cp:revision>2</cp:revision>
  <cp:lastPrinted>2017-01-14T22:11:00Z</cp:lastPrinted>
  <dcterms:created xsi:type="dcterms:W3CDTF">2017-01-14T22:22:00Z</dcterms:created>
  <dcterms:modified xsi:type="dcterms:W3CDTF">2017-01-14T22:22:00Z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