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D7E" w:rsidRPr="0037213A" w:rsidRDefault="00AC7D7E" w:rsidP="00AC7D7E">
      <w:pPr>
        <w:spacing w:after="12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7213A">
        <w:rPr>
          <w:rFonts w:asciiTheme="majorBidi" w:hAnsiTheme="majorBidi" w:cstheme="majorBidi"/>
          <w:b/>
          <w:bCs/>
          <w:sz w:val="24"/>
          <w:szCs w:val="24"/>
        </w:rPr>
        <w:t xml:space="preserve">Dietary total antioxidant capacity and incidence of chronic kidney disease in subjects with </w:t>
      </w:r>
      <w:proofErr w:type="spellStart"/>
      <w:r w:rsidRPr="0037213A">
        <w:rPr>
          <w:rFonts w:asciiTheme="majorBidi" w:hAnsiTheme="majorBidi" w:cstheme="majorBidi"/>
          <w:b/>
          <w:bCs/>
          <w:sz w:val="24"/>
          <w:szCs w:val="24"/>
        </w:rPr>
        <w:t>dysglycemia</w:t>
      </w:r>
      <w:proofErr w:type="spellEnd"/>
      <w:r w:rsidRPr="0037213A">
        <w:rPr>
          <w:rFonts w:asciiTheme="majorBidi" w:hAnsiTheme="majorBidi" w:cstheme="majorBidi"/>
          <w:b/>
          <w:bCs/>
          <w:sz w:val="24"/>
          <w:szCs w:val="24"/>
        </w:rPr>
        <w:t>: Tehran Lipid and Glucose Study</w:t>
      </w:r>
    </w:p>
    <w:p w:rsidR="00AC7D7E" w:rsidRPr="0037213A" w:rsidRDefault="00AC7D7E" w:rsidP="00AC7D7E">
      <w:pPr>
        <w:spacing w:after="120" w:line="276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9545E6">
        <w:rPr>
          <w:rFonts w:asciiTheme="majorBidi" w:hAnsiTheme="majorBidi" w:cstheme="majorBidi"/>
          <w:sz w:val="24"/>
          <w:szCs w:val="24"/>
          <w:u w:val="single"/>
        </w:rPr>
        <w:t>Golaleh</w:t>
      </w:r>
      <w:proofErr w:type="spellEnd"/>
      <w:r w:rsidRPr="009545E6">
        <w:rPr>
          <w:rFonts w:asciiTheme="majorBidi" w:hAnsiTheme="majorBidi" w:cstheme="majorBidi"/>
          <w:sz w:val="24"/>
          <w:szCs w:val="24"/>
          <w:u w:val="single"/>
        </w:rPr>
        <w:t xml:space="preserve"> Asghari</w:t>
      </w:r>
      <w:r w:rsidRPr="009545E6">
        <w:rPr>
          <w:rFonts w:asciiTheme="majorBidi" w:hAnsiTheme="majorBidi" w:cstheme="majorBidi"/>
          <w:sz w:val="24"/>
          <w:szCs w:val="24"/>
          <w:u w:val="single"/>
          <w:vertAlign w:val="superscript"/>
        </w:rPr>
        <w:t>1</w:t>
      </w:r>
      <w:r w:rsidRPr="0037213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Emad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Yuzbashian</w:t>
      </w:r>
      <w:r w:rsidRPr="0037213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7213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Sahar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Shahemi</w:t>
      </w:r>
      <w:r w:rsidRPr="0037213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7213A">
        <w:rPr>
          <w:rFonts w:asciiTheme="majorBidi" w:hAnsiTheme="majorBidi" w:cstheme="majorBidi"/>
          <w:sz w:val="24"/>
          <w:szCs w:val="24"/>
        </w:rPr>
        <w:t>, Zahra Gaeini</w:t>
      </w:r>
      <w:r w:rsidRPr="0037213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7213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Parvin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Mirmiran</w:t>
      </w:r>
      <w:r w:rsidRPr="0037213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7213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Fereidoun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Azizi</w:t>
      </w:r>
      <w:r w:rsidRPr="0037213A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37213A">
        <w:rPr>
          <w:rFonts w:asciiTheme="majorBidi" w:hAnsiTheme="majorBidi" w:cstheme="majorBidi"/>
          <w:sz w:val="24"/>
          <w:szCs w:val="24"/>
        </w:rPr>
        <w:t xml:space="preserve"> </w:t>
      </w:r>
    </w:p>
    <w:p w:rsidR="00AC7D7E" w:rsidRPr="00AC7D7E" w:rsidRDefault="00AC7D7E" w:rsidP="00AC7D7E">
      <w:pPr>
        <w:spacing w:after="120" w:line="276" w:lineRule="auto"/>
        <w:rPr>
          <w:rFonts w:asciiTheme="majorBidi" w:hAnsiTheme="majorBidi" w:cstheme="majorBidi"/>
        </w:rPr>
      </w:pPr>
      <w:r w:rsidRPr="00AC7D7E">
        <w:rPr>
          <w:rFonts w:asciiTheme="majorBidi" w:hAnsiTheme="majorBidi" w:cstheme="majorBidi"/>
          <w:vertAlign w:val="superscript"/>
        </w:rPr>
        <w:t>1</w:t>
      </w:r>
      <w:r w:rsidRPr="00AC7D7E">
        <w:rPr>
          <w:rFonts w:asciiTheme="majorBidi" w:hAnsiTheme="majorBidi" w:cstheme="majorBidi"/>
        </w:rPr>
        <w:t xml:space="preserve">Nutrition and Endocrine Research Center, Research Institute for Endocrine Sciences, </w:t>
      </w:r>
      <w:proofErr w:type="spellStart"/>
      <w:r w:rsidRPr="00AC7D7E">
        <w:rPr>
          <w:rFonts w:asciiTheme="majorBidi" w:hAnsiTheme="majorBidi" w:cstheme="majorBidi"/>
        </w:rPr>
        <w:t>Shahid</w:t>
      </w:r>
      <w:proofErr w:type="spellEnd"/>
      <w:r w:rsidRPr="00AC7D7E">
        <w:rPr>
          <w:rFonts w:asciiTheme="majorBidi" w:hAnsiTheme="majorBidi" w:cstheme="majorBidi"/>
        </w:rPr>
        <w:t xml:space="preserve"> </w:t>
      </w:r>
      <w:proofErr w:type="spellStart"/>
      <w:r w:rsidRPr="00AC7D7E">
        <w:rPr>
          <w:rFonts w:asciiTheme="majorBidi" w:hAnsiTheme="majorBidi" w:cstheme="majorBidi"/>
        </w:rPr>
        <w:t>Beheshti</w:t>
      </w:r>
      <w:proofErr w:type="spellEnd"/>
      <w:r w:rsidRPr="00AC7D7E">
        <w:rPr>
          <w:rFonts w:asciiTheme="majorBidi" w:hAnsiTheme="majorBidi" w:cstheme="majorBidi"/>
        </w:rPr>
        <w:t xml:space="preserve"> University of Medical Sciences, Tehran, Iran</w:t>
      </w:r>
    </w:p>
    <w:p w:rsidR="00AC7D7E" w:rsidRPr="00AC7D7E" w:rsidRDefault="00AC7D7E" w:rsidP="00AC7D7E">
      <w:pPr>
        <w:spacing w:after="120" w:line="276" w:lineRule="auto"/>
        <w:rPr>
          <w:rFonts w:asciiTheme="majorBidi" w:hAnsiTheme="majorBidi" w:cstheme="majorBidi"/>
        </w:rPr>
      </w:pPr>
      <w:r w:rsidRPr="00AC7D7E">
        <w:rPr>
          <w:rFonts w:asciiTheme="majorBidi" w:hAnsiTheme="majorBidi" w:cstheme="majorBidi"/>
          <w:vertAlign w:val="superscript"/>
        </w:rPr>
        <w:t>2</w:t>
      </w:r>
      <w:r w:rsidRPr="00AC7D7E">
        <w:rPr>
          <w:rFonts w:asciiTheme="majorBidi" w:hAnsiTheme="majorBidi" w:cstheme="majorBidi"/>
        </w:rPr>
        <w:t xml:space="preserve">Endocrine Research Center, Research Institute for Endocrine Sciences, </w:t>
      </w:r>
      <w:proofErr w:type="spellStart"/>
      <w:r w:rsidRPr="00AC7D7E">
        <w:rPr>
          <w:rFonts w:asciiTheme="majorBidi" w:hAnsiTheme="majorBidi" w:cstheme="majorBidi"/>
        </w:rPr>
        <w:t>Shahid</w:t>
      </w:r>
      <w:proofErr w:type="spellEnd"/>
      <w:r w:rsidRPr="00AC7D7E">
        <w:rPr>
          <w:rFonts w:asciiTheme="majorBidi" w:hAnsiTheme="majorBidi" w:cstheme="majorBidi"/>
        </w:rPr>
        <w:t xml:space="preserve"> </w:t>
      </w:r>
      <w:proofErr w:type="spellStart"/>
      <w:r w:rsidRPr="00AC7D7E">
        <w:rPr>
          <w:rFonts w:asciiTheme="majorBidi" w:hAnsiTheme="majorBidi" w:cstheme="majorBidi"/>
        </w:rPr>
        <w:t>Beheshti</w:t>
      </w:r>
      <w:proofErr w:type="spellEnd"/>
      <w:r w:rsidRPr="00AC7D7E">
        <w:rPr>
          <w:rFonts w:asciiTheme="majorBidi" w:hAnsiTheme="majorBidi" w:cstheme="majorBidi"/>
        </w:rPr>
        <w:t xml:space="preserve"> University of Medical Sciences, Tehran, Iran</w:t>
      </w:r>
    </w:p>
    <w:p w:rsidR="00AC7D7E" w:rsidRDefault="00AC7D7E" w:rsidP="00AC7D7E">
      <w:pPr>
        <w:spacing w:after="120"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C7D7E" w:rsidRPr="0037213A" w:rsidRDefault="00AC7D7E" w:rsidP="00AC7D7E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7213A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37213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Dysglycemia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increases the </w:t>
      </w:r>
      <w:r w:rsidRPr="0037213A">
        <w:rPr>
          <w:rFonts w:asciiTheme="majorBidi" w:hAnsiTheme="majorBidi" w:cstheme="majorBidi"/>
          <w:noProof/>
          <w:sz w:val="24"/>
          <w:szCs w:val="24"/>
        </w:rPr>
        <w:t>likelihood</w:t>
      </w:r>
      <w:r w:rsidRPr="0037213A">
        <w:rPr>
          <w:rFonts w:asciiTheme="majorBidi" w:hAnsiTheme="majorBidi" w:cstheme="majorBidi"/>
          <w:sz w:val="24"/>
          <w:szCs w:val="24"/>
        </w:rPr>
        <w:t xml:space="preserve"> of chronic kidney disease (CKD) via oxidative stress. The antioxidant-rich diet may attenuate effects of hyperglycemia on oxidative stress. We aimed to investigate the association of dietary total antioxidant capacity (TAC) with incidence of CKD in subjects with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dysglycemia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. </w:t>
      </w:r>
    </w:p>
    <w:p w:rsidR="00AC7D7E" w:rsidRPr="0037213A" w:rsidRDefault="00AC7D7E" w:rsidP="00AC7D7E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7213A">
        <w:rPr>
          <w:rFonts w:asciiTheme="majorBidi" w:hAnsiTheme="majorBidi" w:cstheme="majorBidi"/>
          <w:b/>
          <w:bCs/>
          <w:sz w:val="24"/>
          <w:szCs w:val="24"/>
        </w:rPr>
        <w:t xml:space="preserve">Material and Method: </w:t>
      </w:r>
      <w:r w:rsidRPr="0037213A">
        <w:rPr>
          <w:rFonts w:asciiTheme="majorBidi" w:hAnsiTheme="majorBidi" w:cstheme="majorBidi"/>
          <w:sz w:val="24"/>
          <w:szCs w:val="24"/>
        </w:rPr>
        <w:t xml:space="preserve">We followed-up 1179 subjects with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dysglycemia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from the Tehran Lipid and Glucose Study (TLGS) for 3 years, who were initially free of CKD. Dietary intake of TAC, vitamin C, vitamin E, and ß-carotene was assessed through a food-frequency questionnaire at the baseline. Dietary TAC was estimated using the oxygen radical absorbance capacity method. Estimated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glomerular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filtration rate (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eGFR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) was calculated, using the Modification of Diet in Renal Disease Study equation and CKD was defined as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eGFR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&lt;60mL/min/1.73m</w:t>
      </w:r>
      <w:r w:rsidRPr="0037213A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37213A">
        <w:rPr>
          <w:rFonts w:asciiTheme="majorBidi" w:hAnsiTheme="majorBidi" w:cstheme="majorBidi"/>
          <w:sz w:val="24"/>
          <w:szCs w:val="24"/>
        </w:rPr>
        <w:t>. Odds ratios (ORs) using multivariable logistic regression were reported for the association of incident CKD with dietary TAC.</w:t>
      </w:r>
    </w:p>
    <w:p w:rsidR="00AC7D7E" w:rsidRPr="0037213A" w:rsidRDefault="00AC7D7E" w:rsidP="00AC7D7E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7213A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37213A">
        <w:rPr>
          <w:rFonts w:asciiTheme="majorBidi" w:hAnsiTheme="majorBidi" w:cstheme="majorBidi"/>
          <w:sz w:val="24"/>
          <w:szCs w:val="24"/>
        </w:rPr>
        <w:t xml:space="preserve">A total of 197 (16.7%) cases of incident CKD were recorded after 3 years of follow-up. After adjustment for age, sex, smoking, physical activity, body mass index, hypertension, and total energy intake, the top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tertile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of dietary TAC compared to the bottom was associated with 39% (95% confidence interval (CI) = 0.61 0.40-0.93) lower risk of incident CKD (</w:t>
      </w:r>
      <w:r w:rsidRPr="0037213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37213A">
        <w:rPr>
          <w:rFonts w:asciiTheme="majorBidi" w:hAnsiTheme="majorBidi" w:cstheme="majorBidi"/>
          <w:sz w:val="24"/>
          <w:szCs w:val="24"/>
        </w:rPr>
        <w:t xml:space="preserve"> for trend=0.025). Furthermore, the highest </w:t>
      </w:r>
      <w:proofErr w:type="spellStart"/>
      <w:r w:rsidRPr="0037213A">
        <w:rPr>
          <w:rFonts w:asciiTheme="majorBidi" w:hAnsiTheme="majorBidi" w:cstheme="majorBidi"/>
          <w:sz w:val="24"/>
          <w:szCs w:val="24"/>
        </w:rPr>
        <w:t>tertile</w:t>
      </w:r>
      <w:proofErr w:type="spellEnd"/>
      <w:r w:rsidRPr="0037213A">
        <w:rPr>
          <w:rFonts w:asciiTheme="majorBidi" w:hAnsiTheme="majorBidi" w:cstheme="majorBidi"/>
          <w:sz w:val="24"/>
          <w:szCs w:val="24"/>
        </w:rPr>
        <w:t xml:space="preserve"> of vitamin C intake compared to the lowest, risk of incident CKD was decreased (OR: 0.60; 95% CI: 0.38-0.93, </w:t>
      </w:r>
      <w:r w:rsidRPr="0037213A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37213A">
        <w:rPr>
          <w:rFonts w:asciiTheme="majorBidi" w:hAnsiTheme="majorBidi" w:cstheme="majorBidi"/>
          <w:sz w:val="24"/>
          <w:szCs w:val="24"/>
        </w:rPr>
        <w:t xml:space="preserve"> trend: 0.023). Intake of vitamin E and ß-carotene were not significantly associated with incident CKD risk.</w:t>
      </w:r>
    </w:p>
    <w:p w:rsidR="00621247" w:rsidRDefault="00AC7D7E" w:rsidP="00AC7D7E">
      <w:pPr>
        <w:spacing w:after="120" w:line="276" w:lineRule="auto"/>
      </w:pPr>
      <w:r w:rsidRPr="0037213A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37213A">
        <w:rPr>
          <w:rFonts w:asciiTheme="majorBidi" w:hAnsiTheme="majorBidi" w:cstheme="majorBidi"/>
          <w:sz w:val="24"/>
          <w:szCs w:val="24"/>
        </w:rPr>
        <w:t>Our findings suggest diet high in TAC is associated with a lower risk of incident CKD among subjects with hyperglycemia after 3 years of follow-up.</w:t>
      </w:r>
    </w:p>
    <w:sectPr w:rsidR="00621247" w:rsidSect="00CF4C59">
      <w:type w:val="continuous"/>
      <w:pgSz w:w="11907" w:h="16840" w:code="9"/>
      <w:pgMar w:top="1440" w:right="1440" w:bottom="1440" w:left="1440" w:header="706" w:footer="706" w:gutter="0"/>
      <w:cols w:space="709"/>
      <w:bidi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AC7D7E"/>
    <w:rsid w:val="00334A4B"/>
    <w:rsid w:val="004D32C7"/>
    <w:rsid w:val="00621247"/>
    <w:rsid w:val="008A6AF5"/>
    <w:rsid w:val="009545E6"/>
    <w:rsid w:val="009655FC"/>
    <w:rsid w:val="00970D3E"/>
    <w:rsid w:val="009A362F"/>
    <w:rsid w:val="00AC7D7E"/>
    <w:rsid w:val="00CF4C59"/>
    <w:rsid w:val="00E12FEB"/>
    <w:rsid w:val="00F95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40" w:line="276" w:lineRule="auto"/>
        <w:ind w:left="144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7E"/>
    <w:pPr>
      <w:spacing w:before="0" w:after="160" w:line="259" w:lineRule="auto"/>
      <w:ind w:left="0"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343</Words>
  <Characters>1960</Characters>
  <Application>Microsoft Office Word</Application>
  <DocSecurity>0</DocSecurity>
  <Lines>16</Lines>
  <Paragraphs>4</Paragraphs>
  <ScaleCrop>false</ScaleCrop>
  <Company>Click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</dc:creator>
  <cp:lastModifiedBy>Click</cp:lastModifiedBy>
  <cp:revision>2</cp:revision>
  <dcterms:created xsi:type="dcterms:W3CDTF">2016-11-24T19:01:00Z</dcterms:created>
  <dcterms:modified xsi:type="dcterms:W3CDTF">2016-11-24T19:05:00Z</dcterms:modified>
</cp:coreProperties>
</file>