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9FF048" w14:textId="3F67FC25" w:rsidR="00AE3E37" w:rsidRDefault="00A8071B" w:rsidP="000534A1">
      <w:pPr>
        <w:pStyle w:val="Heading1"/>
        <w:spacing w:before="170"/>
        <w:ind w:left="0"/>
        <w:jc w:val="both"/>
      </w:pPr>
      <w:bookmarkStart w:id="0" w:name="_Hlk90579758"/>
      <w:r>
        <w:rPr>
          <w:color w:val="337AB7"/>
        </w:rPr>
        <w:t xml:space="preserve">Effect of Nutrition on Sarcopenia Management </w:t>
      </w:r>
    </w:p>
    <w:p w14:paraId="09D1F08C" w14:textId="5D0219E7" w:rsidR="005973B9" w:rsidRDefault="00A8071B" w:rsidP="00A8071B">
      <w:pPr>
        <w:pStyle w:val="BodyText"/>
        <w:spacing w:before="73" w:line="198" w:lineRule="exact"/>
        <w:ind w:left="100" w:right="5987"/>
        <w:rPr>
          <w:rFonts w:ascii="Arial"/>
        </w:rPr>
      </w:pPr>
      <w:r>
        <w:rPr>
          <w:rFonts w:ascii="Arial"/>
        </w:rPr>
        <w:t xml:space="preserve">Nasrin Nasimi, Community Nutrition MSc, </w:t>
      </w:r>
      <w:r>
        <w:rPr>
          <w:rFonts w:ascii="Arial"/>
        </w:rPr>
        <w:br/>
        <w:t>Shiraz University of Sciences, Iran</w:t>
      </w:r>
    </w:p>
    <w:p w14:paraId="5605DE09" w14:textId="32651F52" w:rsidR="00AE3E37" w:rsidRDefault="00AE3E37">
      <w:pPr>
        <w:pStyle w:val="BodyText"/>
        <w:rPr>
          <w:rFonts w:ascii="Arial"/>
          <w:sz w:val="20"/>
        </w:rPr>
      </w:pPr>
    </w:p>
    <w:p w14:paraId="3A23DB6F"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0CA5F4D7" w14:textId="060539FA" w:rsidR="00AE3E37" w:rsidRDefault="00333C3A">
      <w:pPr>
        <w:pStyle w:val="Heading3"/>
        <w:spacing w:before="147"/>
        <w:jc w:val="both"/>
      </w:pPr>
      <w:r>
        <w:rPr>
          <w:b w:val="0"/>
          <w:noProof/>
          <w:sz w:val="16"/>
        </w:rPr>
        <w:drawing>
          <wp:anchor distT="0" distB="0" distL="114300" distR="114300" simplePos="0" relativeHeight="251660800" behindDoc="0" locked="0" layoutInCell="1" allowOverlap="1" wp14:anchorId="0F410230" wp14:editId="2FF31235">
            <wp:simplePos x="0" y="0"/>
            <wp:positionH relativeFrom="margin">
              <wp:posOffset>3397250</wp:posOffset>
            </wp:positionH>
            <wp:positionV relativeFrom="margin">
              <wp:posOffset>1043940</wp:posOffset>
            </wp:positionV>
            <wp:extent cx="3257550" cy="212407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257550" cy="2124075"/>
                    </a:xfrm>
                    <a:prstGeom prst="rect">
                      <a:avLst/>
                    </a:prstGeom>
                  </pic:spPr>
                </pic:pic>
              </a:graphicData>
            </a:graphic>
            <wp14:sizeRelH relativeFrom="margin">
              <wp14:pctWidth>0</wp14:pctWidth>
            </wp14:sizeRelH>
            <wp14:sizeRelV relativeFrom="margin">
              <wp14:pctHeight>0</wp14:pctHeight>
            </wp14:sizeRelV>
          </wp:anchor>
        </w:drawing>
      </w:r>
      <w:r w:rsidR="00A9710C">
        <w:rPr>
          <w:color w:val="BF5A14"/>
        </w:rPr>
        <w:t>Abstract</w:t>
      </w:r>
      <w:r w:rsidR="00404E5B">
        <w:rPr>
          <w:color w:val="BF5A14"/>
        </w:rPr>
        <w:t xml:space="preserve"> </w:t>
      </w:r>
    </w:p>
    <w:p w14:paraId="3989B48F" w14:textId="1E6439AC" w:rsidR="00AB203B" w:rsidRPr="0000600A" w:rsidRDefault="0000600A" w:rsidP="00AB203B">
      <w:pPr>
        <w:jc w:val="both"/>
        <w:rPr>
          <w:rFonts w:asciiTheme="majorBidi" w:hAnsiTheme="majorBidi" w:cstheme="majorBidi"/>
          <w:sz w:val="20"/>
          <w:szCs w:val="20"/>
        </w:rPr>
      </w:pPr>
      <w:r w:rsidRPr="0000600A">
        <w:rPr>
          <w:rFonts w:asciiTheme="majorBidi" w:hAnsiTheme="majorBidi" w:cstheme="majorBidi"/>
          <w:sz w:val="20"/>
          <w:szCs w:val="20"/>
        </w:rPr>
        <w:t xml:space="preserve">Statement of the problem: </w:t>
      </w:r>
      <w:r w:rsidR="00AB203B" w:rsidRPr="0000600A">
        <w:rPr>
          <w:rFonts w:asciiTheme="majorBidi" w:hAnsiTheme="majorBidi" w:cstheme="majorBidi"/>
          <w:sz w:val="20"/>
          <w:szCs w:val="20"/>
        </w:rPr>
        <w:t xml:space="preserve">Sarcopenia </w:t>
      </w:r>
      <w:r w:rsidR="00511176" w:rsidRPr="0000600A">
        <w:rPr>
          <w:rFonts w:asciiTheme="majorBidi" w:hAnsiTheme="majorBidi" w:cstheme="majorBidi"/>
          <w:sz w:val="20"/>
          <w:szCs w:val="20"/>
        </w:rPr>
        <w:t>is</w:t>
      </w:r>
      <w:r w:rsidR="00AB203B" w:rsidRPr="0000600A">
        <w:rPr>
          <w:rFonts w:asciiTheme="majorBidi" w:hAnsiTheme="majorBidi" w:cstheme="majorBidi"/>
          <w:sz w:val="20"/>
          <w:szCs w:val="20"/>
        </w:rPr>
        <w:t xml:space="preserve"> defined as a geriatric syndrome characterized by progressive loss of skeletal muscle mass, strength, and physical function. Our previous study showed that the prevalence of sarcopenia is 20.8% among the Iranian community-dwelling older adults</w:t>
      </w:r>
      <w:r w:rsidR="00511176" w:rsidRPr="0000600A">
        <w:rPr>
          <w:rFonts w:asciiTheme="majorBidi" w:hAnsiTheme="majorBidi" w:cstheme="majorBidi"/>
          <w:sz w:val="20"/>
          <w:szCs w:val="20"/>
        </w:rPr>
        <w:t xml:space="preserve">. Our findings underlined that sarcopenia might develop in older adults with impaired nutritional status and high body fat mass </w:t>
      </w:r>
      <w:r w:rsidR="00E13255" w:rsidRPr="0000600A">
        <w:rPr>
          <w:rFonts w:asciiTheme="majorBidi" w:hAnsiTheme="majorBidi" w:cstheme="majorBidi"/>
          <w:sz w:val="20"/>
          <w:szCs w:val="20"/>
        </w:rPr>
        <w:fldChar w:fldCharType="begin"/>
      </w:r>
      <w:r w:rsidR="00043EAE">
        <w:rPr>
          <w:rFonts w:asciiTheme="majorBidi" w:hAnsiTheme="majorBidi" w:cstheme="majorBidi"/>
          <w:sz w:val="20"/>
          <w:szCs w:val="20"/>
        </w:rPr>
        <w:instrText xml:space="preserve"> ADDIN EN.CITE &lt;EndNote&gt;&lt;Cite&gt;&lt;Author&gt;Nasimi&lt;/Author&gt;&lt;Year&gt;2019&lt;/Year&gt;&lt;RecNum&gt;19812&lt;/RecNum&gt;&lt;DisplayText&gt;(1)&lt;/DisplayText&gt;&lt;record&gt;&lt;rec-number&gt;19812&lt;/rec-number&gt;&lt;foreign-keys&gt;&lt;key app="EN" db-id="zvddfvws5pfdx6e2xsnpfrv4rf0ep0zpf5at" timestamp="1639672539"&gt;19812&lt;/key&gt;&lt;/foreign-keys&gt;&lt;ref-type name="Journal Article"&gt;17&lt;/ref-type&gt;&lt;contributors&gt;&lt;authors&gt;&lt;author&gt;Nasimi, Nasrin&lt;/author&gt;&lt;author&gt;Dabbaghmanesh, Mohammad Hossein&lt;/author&gt;&lt;author&gt;Sohrabi, Zahra&lt;/author&gt;&lt;/authors&gt;&lt;/contributors&gt;&lt;titles&gt;&lt;title&gt;Nutritional status and body fat mass: Determinants of sarcopenia in community-dwelling older adults&lt;/title&gt;&lt;secondary-title&gt;Experimental gerontology&lt;/secondary-title&gt;&lt;/titles&gt;&lt;periodical&gt;&lt;full-title&gt;Experimental Gerontology&lt;/full-title&gt;&lt;/periodical&gt;&lt;pages&gt;67-73&lt;/pages&gt;&lt;volume&gt;122&lt;/volume&gt;&lt;dates&gt;&lt;year&gt;2019&lt;/year&gt;&lt;/dates&gt;&lt;isbn&gt;0531-5565&lt;/isbn&gt;&lt;urls&gt;&lt;/urls&gt;&lt;/record&gt;&lt;/Cite&gt;&lt;/EndNote&gt;</w:instrText>
      </w:r>
      <w:r w:rsidR="00E13255" w:rsidRPr="0000600A">
        <w:rPr>
          <w:rFonts w:asciiTheme="majorBidi" w:hAnsiTheme="majorBidi" w:cstheme="majorBidi"/>
          <w:sz w:val="20"/>
          <w:szCs w:val="20"/>
        </w:rPr>
        <w:fldChar w:fldCharType="separate"/>
      </w:r>
      <w:r w:rsidR="00043EAE">
        <w:rPr>
          <w:rFonts w:asciiTheme="majorBidi" w:hAnsiTheme="majorBidi" w:cstheme="majorBidi"/>
          <w:noProof/>
          <w:sz w:val="20"/>
          <w:szCs w:val="20"/>
        </w:rPr>
        <w:t>(1)</w:t>
      </w:r>
      <w:r w:rsidR="00E13255" w:rsidRPr="0000600A">
        <w:rPr>
          <w:rFonts w:asciiTheme="majorBidi" w:hAnsiTheme="majorBidi" w:cstheme="majorBidi"/>
          <w:sz w:val="20"/>
          <w:szCs w:val="20"/>
        </w:rPr>
        <w:fldChar w:fldCharType="end"/>
      </w:r>
      <w:r w:rsidR="00511176" w:rsidRPr="0000600A">
        <w:rPr>
          <w:rFonts w:asciiTheme="majorBidi" w:hAnsiTheme="majorBidi" w:cstheme="majorBidi"/>
          <w:sz w:val="20"/>
          <w:szCs w:val="20"/>
        </w:rPr>
        <w:t>. Regarding</w:t>
      </w:r>
      <w:r w:rsidR="00AB203B" w:rsidRPr="0000600A">
        <w:rPr>
          <w:rFonts w:asciiTheme="majorBidi" w:hAnsiTheme="majorBidi" w:cstheme="majorBidi"/>
          <w:sz w:val="20"/>
          <w:szCs w:val="20"/>
        </w:rPr>
        <w:t xml:space="preserve"> the high prevalence of sarcopenia, and the importance of nutrition interventions in sarcopenia, efficient strategies are required for its management. The recent study conducted to evaluate the efficacy of daily consumption of fortified yogurt with 3g beta-Hydroxy beta-Methyl Butyrate (HMB), 1000IU vitamin D, and 500mg vitamin C on measures of sarcopenia and quality of life in sarcopenic older adults. </w:t>
      </w:r>
      <w:r w:rsidRPr="0000600A">
        <w:rPr>
          <w:rFonts w:asciiTheme="majorBidi" w:hAnsiTheme="majorBidi" w:cstheme="majorBidi"/>
          <w:sz w:val="20"/>
          <w:szCs w:val="20"/>
        </w:rPr>
        <w:t xml:space="preserve">Methods: </w:t>
      </w:r>
      <w:r w:rsidR="00AB203B" w:rsidRPr="0000600A">
        <w:rPr>
          <w:rFonts w:asciiTheme="majorBidi" w:hAnsiTheme="majorBidi" w:cstheme="majorBidi"/>
          <w:sz w:val="20"/>
          <w:szCs w:val="20"/>
          <w:lang w:bidi="fa-IR"/>
        </w:rPr>
        <w:t xml:space="preserve">Body composition, muscle strength, and functionality were measured using Dual-energy-X-ray Absorptiometry (DXA), hydraulic handgrip dynamometer, and usual gait speed, respectively. </w:t>
      </w:r>
      <w:r w:rsidRPr="0000600A">
        <w:rPr>
          <w:rFonts w:asciiTheme="majorBidi" w:hAnsiTheme="majorBidi" w:cstheme="majorBidi"/>
          <w:sz w:val="20"/>
          <w:szCs w:val="20"/>
          <w:lang w:bidi="fa-IR"/>
        </w:rPr>
        <w:t xml:space="preserve">Findings: </w:t>
      </w:r>
      <w:r w:rsidR="00AB203B" w:rsidRPr="0000600A">
        <w:rPr>
          <w:rFonts w:asciiTheme="majorBidi" w:hAnsiTheme="majorBidi" w:cstheme="majorBidi"/>
          <w:sz w:val="20"/>
          <w:szCs w:val="20"/>
          <w:lang w:bidi="fa-IR"/>
        </w:rPr>
        <w:t>The results demonstrated that the increased muscle</w:t>
      </w:r>
      <w:r w:rsidR="00AB203B" w:rsidRPr="0000600A">
        <w:rPr>
          <w:rFonts w:asciiTheme="majorBidi" w:hAnsiTheme="majorBidi" w:cstheme="majorBidi"/>
          <w:sz w:val="20"/>
          <w:szCs w:val="20"/>
          <w:rtl/>
          <w:lang w:bidi="fa-IR"/>
        </w:rPr>
        <w:t xml:space="preserve"> </w:t>
      </w:r>
      <w:r w:rsidR="00AB203B" w:rsidRPr="0000600A">
        <w:rPr>
          <w:rFonts w:asciiTheme="majorBidi" w:hAnsiTheme="majorBidi" w:cstheme="majorBidi"/>
          <w:sz w:val="20"/>
          <w:szCs w:val="20"/>
          <w:lang w:bidi="fa-IR"/>
        </w:rPr>
        <w:t xml:space="preserve">mass in the intervention group was mostly apparent in appendicular lean mass (ALM) (approximately 1% increase). Moreover, </w:t>
      </w:r>
      <w:r w:rsidR="00AB203B" w:rsidRPr="0000600A">
        <w:rPr>
          <w:rFonts w:asciiTheme="majorBidi" w:hAnsiTheme="majorBidi" w:cstheme="majorBidi"/>
          <w:sz w:val="20"/>
          <w:szCs w:val="20"/>
        </w:rPr>
        <w:t xml:space="preserve">consumption of fortified yogurt enhanced handgrip strength and gait speed in the intervention group </w:t>
      </w:r>
      <w:r w:rsidR="00AB203B" w:rsidRPr="0000600A">
        <w:rPr>
          <w:rFonts w:asciiTheme="majorBidi" w:hAnsiTheme="majorBidi" w:cstheme="majorBidi"/>
          <w:sz w:val="20"/>
          <w:szCs w:val="20"/>
          <w:lang w:bidi="fa-IR"/>
        </w:rPr>
        <w:t>compared to the control group</w:t>
      </w:r>
      <w:r w:rsidR="007A61E5" w:rsidRPr="0000600A">
        <w:rPr>
          <w:rFonts w:asciiTheme="majorBidi" w:hAnsiTheme="majorBidi" w:cstheme="majorBidi"/>
          <w:sz w:val="20"/>
          <w:szCs w:val="20"/>
          <w:lang w:bidi="fa-IR"/>
        </w:rPr>
        <w:t xml:space="preserve"> (P&lt;0.001)</w:t>
      </w:r>
      <w:r w:rsidR="00AB203B" w:rsidRPr="0000600A">
        <w:rPr>
          <w:rFonts w:asciiTheme="majorBidi" w:hAnsiTheme="majorBidi" w:cstheme="majorBidi"/>
          <w:sz w:val="20"/>
          <w:szCs w:val="20"/>
          <w:lang w:bidi="fa-IR"/>
        </w:rPr>
        <w:t xml:space="preserve">. </w:t>
      </w:r>
      <w:r w:rsidR="00CD1635">
        <w:rPr>
          <w:rFonts w:asciiTheme="majorBidi" w:hAnsiTheme="majorBidi" w:cstheme="majorBidi"/>
          <w:sz w:val="20"/>
          <w:szCs w:val="20"/>
        </w:rPr>
        <w:t>T</w:t>
      </w:r>
      <w:r w:rsidR="00BE7F33" w:rsidRPr="0000600A">
        <w:rPr>
          <w:rFonts w:asciiTheme="majorBidi" w:hAnsiTheme="majorBidi" w:cstheme="majorBidi"/>
          <w:sz w:val="20"/>
          <w:szCs w:val="20"/>
        </w:rPr>
        <w:t>he results</w:t>
      </w:r>
      <w:r w:rsidRPr="0000600A">
        <w:rPr>
          <w:rFonts w:asciiTheme="majorBidi" w:hAnsiTheme="majorBidi" w:cstheme="majorBidi"/>
          <w:sz w:val="20"/>
          <w:szCs w:val="20"/>
        </w:rPr>
        <w:t xml:space="preserve"> also</w:t>
      </w:r>
      <w:r w:rsidR="00BE7F33" w:rsidRPr="0000600A">
        <w:rPr>
          <w:rFonts w:asciiTheme="majorBidi" w:hAnsiTheme="majorBidi" w:cstheme="majorBidi"/>
          <w:sz w:val="20"/>
          <w:szCs w:val="20"/>
        </w:rPr>
        <w:t xml:space="preserve"> revealed a significant increase in vitamin D and IGF-1 levels in the intervention group (P &lt; </w:t>
      </w:r>
      <w:r w:rsidR="007A61E5" w:rsidRPr="0000600A">
        <w:rPr>
          <w:rFonts w:asciiTheme="majorBidi" w:hAnsiTheme="majorBidi" w:cstheme="majorBidi"/>
          <w:sz w:val="20"/>
          <w:szCs w:val="20"/>
        </w:rPr>
        <w:t>0</w:t>
      </w:r>
      <w:r w:rsidR="00BE7F33" w:rsidRPr="0000600A">
        <w:rPr>
          <w:rFonts w:asciiTheme="majorBidi" w:hAnsiTheme="majorBidi" w:cstheme="majorBidi"/>
          <w:sz w:val="20"/>
          <w:szCs w:val="20"/>
        </w:rPr>
        <w:t>.001). The nutritional intervention significantly prevented any increase in the serum concentration of hs-CRP compared with the control group (P</w:t>
      </w:r>
      <w:r w:rsidR="007A61E5" w:rsidRPr="0000600A">
        <w:rPr>
          <w:rFonts w:asciiTheme="majorBidi" w:hAnsiTheme="majorBidi" w:cstheme="majorBidi"/>
          <w:sz w:val="20"/>
          <w:szCs w:val="20"/>
        </w:rPr>
        <w:t>=</w:t>
      </w:r>
      <w:r w:rsidR="00BE7F33" w:rsidRPr="0000600A">
        <w:rPr>
          <w:rFonts w:asciiTheme="majorBidi" w:hAnsiTheme="majorBidi" w:cstheme="majorBidi"/>
          <w:sz w:val="20"/>
          <w:szCs w:val="20"/>
        </w:rPr>
        <w:t xml:space="preserve"> </w:t>
      </w:r>
      <w:r w:rsidRPr="0000600A">
        <w:rPr>
          <w:rFonts w:asciiTheme="majorBidi" w:hAnsiTheme="majorBidi" w:cstheme="majorBidi"/>
          <w:sz w:val="20"/>
          <w:szCs w:val="20"/>
        </w:rPr>
        <w:t>0</w:t>
      </w:r>
      <w:r w:rsidR="00BE7F33" w:rsidRPr="0000600A">
        <w:rPr>
          <w:rFonts w:asciiTheme="majorBidi" w:hAnsiTheme="majorBidi" w:cstheme="majorBidi"/>
          <w:sz w:val="20"/>
          <w:szCs w:val="20"/>
        </w:rPr>
        <w:t xml:space="preserve">.033). Moreover, there were significant differences between the 2 groups regarding physical aspects of </w:t>
      </w:r>
      <w:r w:rsidRPr="0000600A">
        <w:rPr>
          <w:rFonts w:asciiTheme="majorBidi" w:hAnsiTheme="majorBidi" w:cstheme="majorBidi"/>
          <w:sz w:val="20"/>
          <w:szCs w:val="20"/>
        </w:rPr>
        <w:t>quality of life</w:t>
      </w:r>
      <w:r w:rsidR="00BE7F33" w:rsidRPr="0000600A">
        <w:rPr>
          <w:rFonts w:asciiTheme="majorBidi" w:hAnsiTheme="majorBidi" w:cstheme="majorBidi"/>
          <w:sz w:val="20"/>
          <w:szCs w:val="20"/>
        </w:rPr>
        <w:t xml:space="preserve"> (P</w:t>
      </w:r>
      <w:r w:rsidR="007A61E5" w:rsidRPr="0000600A">
        <w:rPr>
          <w:rFonts w:asciiTheme="majorBidi" w:hAnsiTheme="majorBidi" w:cstheme="majorBidi"/>
          <w:sz w:val="20"/>
          <w:szCs w:val="20"/>
        </w:rPr>
        <w:t xml:space="preserve">= </w:t>
      </w:r>
      <w:r w:rsidRPr="0000600A">
        <w:rPr>
          <w:rFonts w:asciiTheme="majorBidi" w:hAnsiTheme="majorBidi" w:cstheme="majorBidi"/>
          <w:sz w:val="20"/>
          <w:szCs w:val="20"/>
        </w:rPr>
        <w:t>0</w:t>
      </w:r>
      <w:r w:rsidR="00BE7F33" w:rsidRPr="0000600A">
        <w:rPr>
          <w:rFonts w:asciiTheme="majorBidi" w:hAnsiTheme="majorBidi" w:cstheme="majorBidi"/>
          <w:sz w:val="20"/>
          <w:szCs w:val="20"/>
        </w:rPr>
        <w:t>.035).</w:t>
      </w:r>
      <w:r w:rsidR="007A61E5" w:rsidRPr="0000600A">
        <w:rPr>
          <w:rFonts w:asciiTheme="majorBidi" w:hAnsiTheme="majorBidi" w:cstheme="majorBidi"/>
          <w:sz w:val="20"/>
          <w:szCs w:val="20"/>
        </w:rPr>
        <w:t xml:space="preserve"> </w:t>
      </w:r>
      <w:r w:rsidRPr="0000600A">
        <w:rPr>
          <w:rFonts w:asciiTheme="majorBidi" w:hAnsiTheme="majorBidi" w:cstheme="majorBidi"/>
          <w:sz w:val="20"/>
          <w:szCs w:val="20"/>
        </w:rPr>
        <w:t>C</w:t>
      </w:r>
      <w:r w:rsidR="00AB203B" w:rsidRPr="0000600A">
        <w:rPr>
          <w:rFonts w:asciiTheme="majorBidi" w:hAnsiTheme="majorBidi" w:cstheme="majorBidi"/>
          <w:sz w:val="20"/>
          <w:szCs w:val="20"/>
          <w:lang w:bidi="fa-IR"/>
        </w:rPr>
        <w:t>onclusion</w:t>
      </w:r>
      <w:r w:rsidRPr="0000600A">
        <w:rPr>
          <w:rFonts w:asciiTheme="majorBidi" w:hAnsiTheme="majorBidi" w:cstheme="majorBidi"/>
          <w:sz w:val="20"/>
          <w:szCs w:val="20"/>
          <w:lang w:bidi="fa-IR"/>
        </w:rPr>
        <w:t>:</w:t>
      </w:r>
      <w:r w:rsidR="00AB203B" w:rsidRPr="0000600A">
        <w:rPr>
          <w:rFonts w:asciiTheme="majorBidi" w:hAnsiTheme="majorBidi" w:cstheme="majorBidi"/>
          <w:sz w:val="20"/>
          <w:szCs w:val="20"/>
          <w:lang w:bidi="fa-IR"/>
        </w:rPr>
        <w:t xml:space="preserve"> </w:t>
      </w:r>
      <w:r w:rsidR="007A61E5" w:rsidRPr="0000600A">
        <w:rPr>
          <w:rFonts w:asciiTheme="majorBidi" w:hAnsiTheme="majorBidi" w:cstheme="majorBidi"/>
          <w:sz w:val="20"/>
          <w:szCs w:val="20"/>
        </w:rPr>
        <w:t xml:space="preserve">A novel dairy product fortified with HMB, vitamin D, and vitamin C not only could enhance muscle strength and functionality, but also modulate anabolic and inflammatory conditions as well as quality of life. This study suggested that specific nutritional interventions alone could be beneficial, especially for those who are unable to exercise </w:t>
      </w:r>
      <w:r w:rsidR="00AB203B" w:rsidRPr="0000600A">
        <w:rPr>
          <w:rFonts w:asciiTheme="majorBidi" w:hAnsiTheme="majorBidi" w:cstheme="majorBidi"/>
          <w:sz w:val="20"/>
          <w:szCs w:val="20"/>
        </w:rPr>
        <w:fldChar w:fldCharType="begin"/>
      </w:r>
      <w:r w:rsidR="00043EAE">
        <w:rPr>
          <w:rFonts w:asciiTheme="majorBidi" w:hAnsiTheme="majorBidi" w:cstheme="majorBidi"/>
          <w:sz w:val="20"/>
          <w:szCs w:val="20"/>
        </w:rPr>
        <w:instrText xml:space="preserve"> ADDIN EN.CITE &lt;EndNote&gt;&lt;Cite&gt;&lt;Author&gt;Nasimi&lt;/Author&gt;&lt;Year&gt;2021&lt;/Year&gt;&lt;RecNum&gt;1&lt;/RecNum&gt;&lt;DisplayText&gt;(2)&lt;/DisplayText&gt;&lt;record&gt;&lt;rec-number&gt;1&lt;/rec-number&gt;&lt;foreign-keys&gt;&lt;key app="EN" db-id="r5d59rs2pa205xex9rmprd5yep0ta09xtva5" timestamp="1629962385"&gt;1&lt;/key&gt;&lt;/foreign-keys&gt;&lt;ref-type name="Journal Article"&gt;17&lt;/ref-type&gt;&lt;contributors&gt;&lt;authors&gt;&lt;author&gt;Nasimi, Nasrin&lt;/author&gt;&lt;author&gt;Sohrabi, Zahra&lt;/author&gt;&lt;author&gt;Dabbaghmanesh, Mohammad Hossein&lt;/author&gt;&lt;author&gt;Eskandari, Mohammad Hadi&lt;/author&gt;&lt;author&gt;Bedeltavana, Alireza&lt;/author&gt;&lt;author&gt;Famouri, Mandana&lt;/author&gt;&lt;author&gt;Talezadeh, Pedram&lt;/author&gt;&lt;/authors&gt;&lt;/contributors&gt;&lt;titles&gt;&lt;title&gt;A novel fortified dairy product and sarcopenia measures in sarcopenic older adults: A double-blind randomized controlled trial&lt;/title&gt;&lt;secondary-title&gt;Journal of the American Medical Directors Association&lt;/secondary-title&gt;&lt;/titles&gt;&lt;periodical&gt;&lt;full-title&gt;Journal of the American Medical Directors Association&lt;/full-title&gt;&lt;/periodical&gt;&lt;pages&gt;809-815&lt;/pages&gt;&lt;volume&gt;22&lt;/volume&gt;&lt;number&gt;4&lt;/number&gt;&lt;dates&gt;&lt;year&gt;2021&lt;/year&gt;&lt;/dates&gt;&lt;isbn&gt;1525-8610&lt;/isbn&gt;&lt;urls&gt;&lt;/urls&gt;&lt;/record&gt;&lt;/Cite&gt;&lt;/EndNote&gt;</w:instrText>
      </w:r>
      <w:r w:rsidR="00AB203B" w:rsidRPr="0000600A">
        <w:rPr>
          <w:rFonts w:asciiTheme="majorBidi" w:hAnsiTheme="majorBidi" w:cstheme="majorBidi"/>
          <w:sz w:val="20"/>
          <w:szCs w:val="20"/>
        </w:rPr>
        <w:fldChar w:fldCharType="separate"/>
      </w:r>
      <w:r w:rsidR="00043EAE">
        <w:rPr>
          <w:rFonts w:asciiTheme="majorBidi" w:hAnsiTheme="majorBidi" w:cstheme="majorBidi"/>
          <w:noProof/>
          <w:sz w:val="20"/>
          <w:szCs w:val="20"/>
        </w:rPr>
        <w:t>(2)</w:t>
      </w:r>
      <w:r w:rsidR="00AB203B" w:rsidRPr="0000600A">
        <w:rPr>
          <w:rFonts w:asciiTheme="majorBidi" w:hAnsiTheme="majorBidi" w:cstheme="majorBidi"/>
          <w:sz w:val="20"/>
          <w:szCs w:val="20"/>
        </w:rPr>
        <w:fldChar w:fldCharType="end"/>
      </w:r>
      <w:r w:rsidR="00AB203B" w:rsidRPr="0000600A">
        <w:rPr>
          <w:rFonts w:asciiTheme="majorBidi" w:hAnsiTheme="majorBidi" w:cstheme="majorBidi"/>
          <w:sz w:val="20"/>
          <w:szCs w:val="20"/>
        </w:rPr>
        <w:t xml:space="preserve">. </w:t>
      </w:r>
    </w:p>
    <w:p w14:paraId="22D00F6F" w14:textId="003294AD" w:rsidR="00AE3E37" w:rsidRDefault="00A9710C">
      <w:pPr>
        <w:pStyle w:val="Heading3"/>
        <w:spacing w:before="74"/>
      </w:pPr>
      <w:r>
        <w:rPr>
          <w:b w:val="0"/>
        </w:rPr>
        <w:br w:type="column"/>
      </w:r>
      <w:r>
        <w:rPr>
          <w:color w:val="BF5A14"/>
        </w:rPr>
        <w:t>Image</w:t>
      </w:r>
    </w:p>
    <w:p w14:paraId="75669E06" w14:textId="396BE2A9" w:rsidR="005973B9" w:rsidRDefault="005973B9" w:rsidP="005973B9">
      <w:pPr>
        <w:spacing w:line="204" w:lineRule="exact"/>
        <w:rPr>
          <w:rFonts w:ascii="Arial"/>
          <w:b/>
          <w:color w:val="BF5A14"/>
          <w:sz w:val="20"/>
        </w:rPr>
      </w:pPr>
      <w:r>
        <w:rPr>
          <w:rFonts w:ascii="Arial"/>
          <w:b/>
          <w:color w:val="BF5A14"/>
          <w:sz w:val="20"/>
        </w:rPr>
        <w:br/>
        <w:t xml:space="preserve">Recent Publications </w:t>
      </w:r>
    </w:p>
    <w:p w14:paraId="099E3F40" w14:textId="77777777" w:rsidR="00CD1635" w:rsidRDefault="00CD1635" w:rsidP="005973B9">
      <w:pPr>
        <w:spacing w:line="204" w:lineRule="exact"/>
        <w:rPr>
          <w:rFonts w:ascii="Arial"/>
          <w:b/>
          <w:sz w:val="20"/>
        </w:rPr>
      </w:pPr>
    </w:p>
    <w:p w14:paraId="0E07337C" w14:textId="77777777" w:rsidR="00043EAE" w:rsidRPr="00EB2FCA" w:rsidRDefault="00043EAE" w:rsidP="00EB2FCA">
      <w:pPr>
        <w:pStyle w:val="EndNoteBibliography"/>
        <w:rPr>
          <w:rFonts w:asciiTheme="majorBidi" w:hAnsiTheme="majorBidi" w:cstheme="majorBidi"/>
          <w:sz w:val="20"/>
          <w:szCs w:val="20"/>
        </w:rPr>
      </w:pPr>
      <w:r w:rsidRPr="00EB2FCA">
        <w:rPr>
          <w:rFonts w:asciiTheme="majorBidi" w:hAnsiTheme="majorBidi" w:cstheme="majorBidi"/>
          <w:sz w:val="20"/>
          <w:szCs w:val="20"/>
        </w:rPr>
        <w:fldChar w:fldCharType="begin"/>
      </w:r>
      <w:r w:rsidRPr="00EB2FCA">
        <w:rPr>
          <w:rFonts w:asciiTheme="majorBidi" w:hAnsiTheme="majorBidi" w:cstheme="majorBidi"/>
          <w:sz w:val="20"/>
          <w:szCs w:val="20"/>
        </w:rPr>
        <w:instrText xml:space="preserve"> ADDIN EN.REFLIST </w:instrText>
      </w:r>
      <w:r w:rsidRPr="00EB2FCA">
        <w:rPr>
          <w:rFonts w:asciiTheme="majorBidi" w:hAnsiTheme="majorBidi" w:cstheme="majorBidi"/>
          <w:sz w:val="20"/>
          <w:szCs w:val="20"/>
        </w:rPr>
        <w:fldChar w:fldCharType="separate"/>
      </w:r>
      <w:r w:rsidRPr="00EB2FCA">
        <w:rPr>
          <w:rFonts w:asciiTheme="majorBidi" w:hAnsiTheme="majorBidi" w:cstheme="majorBidi"/>
          <w:sz w:val="20"/>
          <w:szCs w:val="20"/>
        </w:rPr>
        <w:t>1.</w:t>
      </w:r>
      <w:r w:rsidRPr="00EB2FCA">
        <w:rPr>
          <w:rFonts w:asciiTheme="majorBidi" w:hAnsiTheme="majorBidi" w:cstheme="majorBidi"/>
          <w:sz w:val="20"/>
          <w:szCs w:val="20"/>
        </w:rPr>
        <w:tab/>
        <w:t>Nasimi N, Dabbaghmanesh MH, Sohrabi Z. Nutritional status and body fat mass: Determinants of sarcopenia in community-dwelling older adults. Experimental gerontology. 2019;122:67-73.</w:t>
      </w:r>
    </w:p>
    <w:p w14:paraId="454EDF08" w14:textId="77777777" w:rsidR="00043EAE" w:rsidRPr="00EB2FCA" w:rsidRDefault="00043EAE" w:rsidP="00EB2FCA">
      <w:pPr>
        <w:pStyle w:val="EndNoteBibliography"/>
        <w:rPr>
          <w:rFonts w:asciiTheme="majorBidi" w:hAnsiTheme="majorBidi" w:cstheme="majorBidi"/>
          <w:sz w:val="20"/>
          <w:szCs w:val="20"/>
        </w:rPr>
      </w:pPr>
      <w:r w:rsidRPr="00EB2FCA">
        <w:rPr>
          <w:rFonts w:asciiTheme="majorBidi" w:hAnsiTheme="majorBidi" w:cstheme="majorBidi"/>
          <w:sz w:val="20"/>
          <w:szCs w:val="20"/>
        </w:rPr>
        <w:t>2.</w:t>
      </w:r>
      <w:r w:rsidRPr="00EB2FCA">
        <w:rPr>
          <w:rFonts w:asciiTheme="majorBidi" w:hAnsiTheme="majorBidi" w:cstheme="majorBidi"/>
          <w:sz w:val="20"/>
          <w:szCs w:val="20"/>
        </w:rPr>
        <w:tab/>
        <w:t>Nasimi N, Sohrabi Z, Dabbaghmanesh MH, Eskandari MH, Bedeltavana A, Famouri M, et al. A novel fortified dairy product and sarcopenia measures in sarcopenic older adults: A double-blind randomized controlled trial. Journal of the American Medical Directors Association. 2021;22(4):809-15.</w:t>
      </w:r>
    </w:p>
    <w:p w14:paraId="31859D3F" w14:textId="22F528F0" w:rsidR="00AE3E37" w:rsidRPr="00EB2FCA" w:rsidRDefault="00043EAE" w:rsidP="00EB2FCA">
      <w:pPr>
        <w:jc w:val="both"/>
        <w:rPr>
          <w:rFonts w:asciiTheme="majorBidi" w:hAnsiTheme="majorBidi" w:cstheme="majorBidi"/>
          <w:sz w:val="20"/>
          <w:szCs w:val="20"/>
          <w:shd w:val="clear" w:color="auto" w:fill="FFFFFF"/>
        </w:rPr>
      </w:pPr>
      <w:r w:rsidRPr="00EB2FCA">
        <w:rPr>
          <w:rFonts w:asciiTheme="majorBidi" w:hAnsiTheme="majorBidi" w:cstheme="majorBidi"/>
          <w:sz w:val="20"/>
          <w:szCs w:val="20"/>
        </w:rPr>
        <w:fldChar w:fldCharType="end"/>
      </w:r>
      <w:r w:rsidR="00897DCD" w:rsidRPr="00EB2FCA">
        <w:rPr>
          <w:rFonts w:asciiTheme="majorBidi" w:hAnsiTheme="majorBidi" w:cstheme="majorBidi"/>
          <w:sz w:val="20"/>
          <w:szCs w:val="20"/>
        </w:rPr>
        <w:t xml:space="preserve"> </w:t>
      </w:r>
      <w:r w:rsidR="00EB2FCA" w:rsidRPr="00EB2FCA">
        <w:rPr>
          <w:rFonts w:asciiTheme="majorBidi" w:hAnsiTheme="majorBidi" w:cstheme="majorBidi"/>
          <w:sz w:val="20"/>
          <w:szCs w:val="20"/>
        </w:rPr>
        <w:t>3</w:t>
      </w:r>
      <w:r w:rsidR="00897DCD" w:rsidRPr="00EB2FCA">
        <w:rPr>
          <w:rFonts w:asciiTheme="majorBidi" w:hAnsiTheme="majorBidi" w:cstheme="majorBidi"/>
          <w:sz w:val="20"/>
          <w:szCs w:val="20"/>
        </w:rPr>
        <w:t>.</w:t>
      </w:r>
      <w:r w:rsidR="00EB2FCA" w:rsidRPr="00EB2FCA">
        <w:rPr>
          <w:rFonts w:asciiTheme="majorBidi" w:hAnsiTheme="majorBidi" w:cstheme="majorBidi"/>
          <w:sz w:val="20"/>
          <w:szCs w:val="20"/>
        </w:rPr>
        <w:tab/>
      </w:r>
      <w:r w:rsidR="00EB2FCA" w:rsidRPr="00EB2FCA">
        <w:rPr>
          <w:rFonts w:asciiTheme="majorBidi" w:hAnsiTheme="majorBidi" w:cstheme="majorBidi"/>
          <w:sz w:val="20"/>
          <w:szCs w:val="20"/>
          <w:shd w:val="clear" w:color="auto" w:fill="FFFFFF"/>
        </w:rPr>
        <w:t xml:space="preserve">Montazeri-Najafabady N, Nasimi N, </w:t>
      </w:r>
      <w:proofErr w:type="spellStart"/>
      <w:r w:rsidR="00EB2FCA" w:rsidRPr="00EB2FCA">
        <w:rPr>
          <w:rFonts w:asciiTheme="majorBidi" w:hAnsiTheme="majorBidi" w:cstheme="majorBidi"/>
          <w:sz w:val="20"/>
          <w:szCs w:val="20"/>
          <w:shd w:val="clear" w:color="auto" w:fill="FFFFFF"/>
        </w:rPr>
        <w:t>Sohrabi</w:t>
      </w:r>
      <w:proofErr w:type="spellEnd"/>
      <w:r w:rsidR="00EB2FCA" w:rsidRPr="00EB2FCA">
        <w:rPr>
          <w:rFonts w:asciiTheme="majorBidi" w:hAnsiTheme="majorBidi" w:cstheme="majorBidi"/>
          <w:sz w:val="20"/>
          <w:szCs w:val="20"/>
          <w:shd w:val="clear" w:color="auto" w:fill="FFFFFF"/>
        </w:rPr>
        <w:t xml:space="preserve"> Z, </w:t>
      </w:r>
      <w:proofErr w:type="spellStart"/>
      <w:r w:rsidR="00EB2FCA" w:rsidRPr="00EB2FCA">
        <w:rPr>
          <w:rFonts w:asciiTheme="majorBidi" w:hAnsiTheme="majorBidi" w:cstheme="majorBidi"/>
          <w:sz w:val="20"/>
          <w:szCs w:val="20"/>
          <w:shd w:val="clear" w:color="auto" w:fill="FFFFFF"/>
        </w:rPr>
        <w:t>Chatrabnous</w:t>
      </w:r>
      <w:proofErr w:type="spellEnd"/>
      <w:r w:rsidR="00EB2FCA" w:rsidRPr="00EB2FCA">
        <w:rPr>
          <w:rFonts w:asciiTheme="majorBidi" w:hAnsiTheme="majorBidi" w:cstheme="majorBidi"/>
          <w:sz w:val="20"/>
          <w:szCs w:val="20"/>
          <w:shd w:val="clear" w:color="auto" w:fill="FFFFFF"/>
        </w:rPr>
        <w:t xml:space="preserve"> N, </w:t>
      </w:r>
      <w:proofErr w:type="spellStart"/>
      <w:r w:rsidR="00EB2FCA" w:rsidRPr="00EB2FCA">
        <w:rPr>
          <w:rFonts w:asciiTheme="majorBidi" w:hAnsiTheme="majorBidi" w:cstheme="majorBidi"/>
          <w:sz w:val="20"/>
          <w:szCs w:val="20"/>
          <w:shd w:val="clear" w:color="auto" w:fill="FFFFFF"/>
        </w:rPr>
        <w:t>Dabbaghmanesh</w:t>
      </w:r>
      <w:proofErr w:type="spellEnd"/>
      <w:r w:rsidR="00EB2FCA" w:rsidRPr="00EB2FCA">
        <w:rPr>
          <w:rFonts w:asciiTheme="majorBidi" w:hAnsiTheme="majorBidi" w:cstheme="majorBidi"/>
          <w:sz w:val="20"/>
          <w:szCs w:val="20"/>
          <w:shd w:val="clear" w:color="auto" w:fill="FFFFFF"/>
        </w:rPr>
        <w:t xml:space="preserve"> MH. </w:t>
      </w:r>
      <w:r w:rsidR="00EB2FCA" w:rsidRPr="00EB2FCA">
        <w:rPr>
          <w:rFonts w:asciiTheme="majorBidi" w:hAnsiTheme="majorBidi" w:cstheme="majorBidi"/>
          <w:color w:val="1D2228"/>
          <w:sz w:val="20"/>
          <w:szCs w:val="20"/>
          <w:shd w:val="clear" w:color="auto" w:fill="FFFFFF"/>
        </w:rPr>
        <w:t xml:space="preserve">The Association between TP53 rs1625895 Polymorphism and the Risk of Sarcopenic Obesity in Iranian Older Adults: A Case-control Study. </w:t>
      </w:r>
      <w:r w:rsidR="00EB2FCA" w:rsidRPr="00EB2FCA">
        <w:rPr>
          <w:rFonts w:asciiTheme="majorBidi" w:hAnsiTheme="majorBidi" w:cstheme="majorBidi"/>
          <w:color w:val="222222"/>
          <w:sz w:val="20"/>
          <w:szCs w:val="20"/>
          <w:shd w:val="clear" w:color="auto" w:fill="FFFFFF"/>
        </w:rPr>
        <w:t>BMC Musculoskeletal Disorders. 2021; 22(1):1-9.</w:t>
      </w:r>
    </w:p>
    <w:p w14:paraId="1636FB54" w14:textId="76BC6320" w:rsidR="00EB2FCA" w:rsidRPr="00EB2FCA" w:rsidRDefault="00EB2FCA" w:rsidP="00EB2FCA">
      <w:pPr>
        <w:jc w:val="both"/>
        <w:rPr>
          <w:rFonts w:asciiTheme="majorBidi" w:hAnsiTheme="majorBidi" w:cstheme="majorBidi"/>
          <w:sz w:val="20"/>
          <w:szCs w:val="20"/>
        </w:rPr>
      </w:pPr>
      <w:r w:rsidRPr="00EB2FCA">
        <w:rPr>
          <w:rFonts w:asciiTheme="majorBidi" w:hAnsiTheme="majorBidi" w:cstheme="majorBidi"/>
          <w:sz w:val="20"/>
          <w:szCs w:val="20"/>
        </w:rPr>
        <w:t>4</w:t>
      </w:r>
      <w:r w:rsidR="00897DCD" w:rsidRPr="00EB2FCA">
        <w:rPr>
          <w:rFonts w:asciiTheme="majorBidi" w:hAnsiTheme="majorBidi" w:cstheme="majorBidi"/>
          <w:sz w:val="20"/>
          <w:szCs w:val="20"/>
        </w:rPr>
        <w:t xml:space="preserve">. </w:t>
      </w:r>
      <w:r w:rsidRPr="00EB2FCA">
        <w:rPr>
          <w:rFonts w:asciiTheme="majorBidi" w:hAnsiTheme="majorBidi" w:cstheme="majorBidi"/>
          <w:sz w:val="20"/>
          <w:szCs w:val="20"/>
        </w:rPr>
        <w:tab/>
      </w:r>
      <w:proofErr w:type="spellStart"/>
      <w:r w:rsidR="00897DCD" w:rsidRPr="00EB2FCA">
        <w:rPr>
          <w:rFonts w:asciiTheme="majorBidi" w:hAnsiTheme="majorBidi" w:cstheme="majorBidi"/>
          <w:sz w:val="20"/>
          <w:szCs w:val="20"/>
        </w:rPr>
        <w:t>Courel</w:t>
      </w:r>
      <w:proofErr w:type="spellEnd"/>
      <w:r w:rsidR="00897DCD" w:rsidRPr="00EB2FCA">
        <w:rPr>
          <w:rFonts w:asciiTheme="majorBidi" w:hAnsiTheme="majorBidi" w:cstheme="majorBidi"/>
          <w:sz w:val="20"/>
          <w:szCs w:val="20"/>
        </w:rPr>
        <w:t xml:space="preserve">-Ibáñez J, </w:t>
      </w:r>
      <w:proofErr w:type="spellStart"/>
      <w:r w:rsidR="00897DCD" w:rsidRPr="00EB2FCA">
        <w:rPr>
          <w:rFonts w:asciiTheme="majorBidi" w:hAnsiTheme="majorBidi" w:cstheme="majorBidi"/>
          <w:sz w:val="20"/>
          <w:szCs w:val="20"/>
        </w:rPr>
        <w:t>Vetrovsky</w:t>
      </w:r>
      <w:proofErr w:type="spellEnd"/>
      <w:r w:rsidR="00897DCD" w:rsidRPr="00EB2FCA">
        <w:rPr>
          <w:rFonts w:asciiTheme="majorBidi" w:hAnsiTheme="majorBidi" w:cstheme="majorBidi"/>
          <w:sz w:val="20"/>
          <w:szCs w:val="20"/>
        </w:rPr>
        <w:t xml:space="preserve"> T, </w:t>
      </w:r>
      <w:proofErr w:type="spellStart"/>
      <w:r w:rsidR="00897DCD" w:rsidRPr="00EB2FCA">
        <w:rPr>
          <w:rFonts w:asciiTheme="majorBidi" w:hAnsiTheme="majorBidi" w:cstheme="majorBidi"/>
          <w:sz w:val="20"/>
          <w:szCs w:val="20"/>
        </w:rPr>
        <w:t>Dadova</w:t>
      </w:r>
      <w:proofErr w:type="spellEnd"/>
      <w:r w:rsidR="00897DCD" w:rsidRPr="00EB2FCA">
        <w:rPr>
          <w:rFonts w:asciiTheme="majorBidi" w:hAnsiTheme="majorBidi" w:cstheme="majorBidi"/>
          <w:sz w:val="20"/>
          <w:szCs w:val="20"/>
        </w:rPr>
        <w:t xml:space="preserve"> K, et al. Health benefits of b-hydroxy-</w:t>
      </w:r>
      <w:proofErr w:type="spellStart"/>
      <w:r w:rsidR="00897DCD" w:rsidRPr="00EB2FCA">
        <w:rPr>
          <w:rFonts w:asciiTheme="majorBidi" w:hAnsiTheme="majorBidi" w:cstheme="majorBidi"/>
          <w:sz w:val="20"/>
          <w:szCs w:val="20"/>
        </w:rPr>
        <w:t>bmethylbutyrate</w:t>
      </w:r>
      <w:proofErr w:type="spellEnd"/>
      <w:r w:rsidR="00897DCD" w:rsidRPr="00EB2FCA">
        <w:rPr>
          <w:rFonts w:asciiTheme="majorBidi" w:hAnsiTheme="majorBidi" w:cstheme="majorBidi"/>
          <w:sz w:val="20"/>
          <w:szCs w:val="20"/>
        </w:rPr>
        <w:t xml:space="preserve"> (HMB) supplementation in addition to physical exercise in older adults: A systematic review with meta-analysis. Nutrients </w:t>
      </w:r>
      <w:r w:rsidRPr="00EB2FCA">
        <w:rPr>
          <w:rFonts w:asciiTheme="majorBidi" w:hAnsiTheme="majorBidi" w:cstheme="majorBidi"/>
          <w:sz w:val="20"/>
          <w:szCs w:val="20"/>
        </w:rPr>
        <w:t>2019; 11:2082</w:t>
      </w:r>
      <w:r w:rsidR="00897DCD" w:rsidRPr="00EB2FCA">
        <w:rPr>
          <w:rFonts w:asciiTheme="majorBidi" w:hAnsiTheme="majorBidi" w:cstheme="majorBidi"/>
          <w:sz w:val="20"/>
          <w:szCs w:val="20"/>
        </w:rPr>
        <w:t>.</w:t>
      </w:r>
    </w:p>
    <w:p w14:paraId="46B05852" w14:textId="3E256F06" w:rsidR="00EB2FCA" w:rsidRPr="00EB2FCA" w:rsidRDefault="00EB2FCA" w:rsidP="00EB2FCA">
      <w:pPr>
        <w:jc w:val="both"/>
        <w:rPr>
          <w:rFonts w:asciiTheme="majorBidi" w:hAnsiTheme="majorBidi" w:cstheme="majorBidi"/>
          <w:sz w:val="20"/>
          <w:szCs w:val="20"/>
        </w:rPr>
      </w:pPr>
      <w:r w:rsidRPr="00EB2FCA">
        <w:rPr>
          <w:rFonts w:asciiTheme="majorBidi" w:hAnsiTheme="majorBidi" w:cstheme="majorBidi"/>
          <w:sz w:val="20"/>
          <w:szCs w:val="20"/>
        </w:rPr>
        <w:t xml:space="preserve">5. </w:t>
      </w:r>
      <w:r w:rsidRPr="00EB2FCA">
        <w:rPr>
          <w:rFonts w:asciiTheme="majorBidi" w:hAnsiTheme="majorBidi" w:cstheme="majorBidi"/>
          <w:sz w:val="20"/>
          <w:szCs w:val="20"/>
        </w:rPr>
        <w:tab/>
        <w:t xml:space="preserve">Garcia M, </w:t>
      </w:r>
      <w:proofErr w:type="spellStart"/>
      <w:r w:rsidRPr="00EB2FCA">
        <w:rPr>
          <w:rFonts w:asciiTheme="majorBidi" w:hAnsiTheme="majorBidi" w:cstheme="majorBidi"/>
          <w:sz w:val="20"/>
          <w:szCs w:val="20"/>
        </w:rPr>
        <w:t>Seelaender</w:t>
      </w:r>
      <w:proofErr w:type="spellEnd"/>
      <w:r w:rsidRPr="00EB2FCA">
        <w:rPr>
          <w:rFonts w:asciiTheme="majorBidi" w:hAnsiTheme="majorBidi" w:cstheme="majorBidi"/>
          <w:sz w:val="20"/>
          <w:szCs w:val="20"/>
        </w:rPr>
        <w:t xml:space="preserve"> M, Sotiropoulos A, et al. Vitamin D, muscle recovery, sarcopenia, cachexia and muscle atrophy. Nutrition 2019; 60:66e69.</w:t>
      </w:r>
    </w:p>
    <w:p w14:paraId="6DEE3F45" w14:textId="106A6551" w:rsidR="00AE3E37" w:rsidRPr="00EB2FCA" w:rsidRDefault="00AE3E37">
      <w:pPr>
        <w:spacing w:line="200" w:lineRule="exact"/>
        <w:jc w:val="both"/>
        <w:rPr>
          <w:rFonts w:asciiTheme="majorBidi" w:hAnsiTheme="majorBidi" w:cstheme="majorBidi"/>
          <w:sz w:val="20"/>
          <w:szCs w:val="20"/>
        </w:rPr>
        <w:sectPr w:rsidR="00AE3E37" w:rsidRPr="00EB2FCA" w:rsidSect="008E5477">
          <w:type w:val="continuous"/>
          <w:pgSz w:w="11910" w:h="16840"/>
          <w:pgMar w:top="995" w:right="600" w:bottom="840" w:left="620" w:header="720" w:footer="720" w:gutter="0"/>
          <w:cols w:num="2" w:space="720" w:equalWidth="0">
            <w:col w:w="5214" w:space="138"/>
            <w:col w:w="5338"/>
          </w:cols>
        </w:sectPr>
      </w:pPr>
    </w:p>
    <w:p w14:paraId="67FE1B8C" w14:textId="77777777" w:rsidR="00AE3E37" w:rsidRDefault="00AE3E37">
      <w:pPr>
        <w:pStyle w:val="BodyText"/>
        <w:rPr>
          <w:rFonts w:ascii="Calibri"/>
          <w:sz w:val="20"/>
        </w:rPr>
      </w:pPr>
    </w:p>
    <w:p w14:paraId="1A73AFD7"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950851A" wp14:editId="510F291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CE1EB0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32D86BF" w14:textId="0BC1B222" w:rsidR="00AE3E37" w:rsidRDefault="008756E6" w:rsidP="00404E5B">
      <w:pPr>
        <w:spacing w:before="92"/>
        <w:ind w:right="4234"/>
        <w:rPr>
          <w:rFonts w:ascii="Arial"/>
        </w:rPr>
      </w:pPr>
      <w:r>
        <w:rPr>
          <w:noProof/>
        </w:rPr>
        <w:t xml:space="preserve">              </w:t>
      </w:r>
      <w:r w:rsidR="00163EF9">
        <w:rPr>
          <w:noProof/>
        </w:rPr>
        <w:drawing>
          <wp:inline distT="0" distB="0" distL="0" distR="0" wp14:anchorId="0980C7FD" wp14:editId="1E97D60F">
            <wp:extent cx="1114425" cy="8667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14425" cy="866775"/>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14:paraId="4F395681" w14:textId="77777777" w:rsidR="00163EF9" w:rsidRPr="00163EF9" w:rsidRDefault="00163EF9" w:rsidP="00163EF9">
      <w:pPr>
        <w:jc w:val="both"/>
        <w:rPr>
          <w:rFonts w:asciiTheme="majorBidi" w:hAnsiTheme="majorBidi" w:cstheme="majorBidi"/>
          <w:sz w:val="16"/>
          <w:szCs w:val="16"/>
        </w:rPr>
      </w:pPr>
      <w:r w:rsidRPr="00163EF9">
        <w:rPr>
          <w:rFonts w:asciiTheme="majorBidi" w:hAnsiTheme="majorBidi" w:cstheme="majorBidi"/>
          <w:sz w:val="16"/>
          <w:szCs w:val="16"/>
        </w:rPr>
        <w:t xml:space="preserve">Nasrin Nasimi has completed her Master from Shiraz University of Medical Sciences (SUMS- School of Nutrition and Food Sciences) and she is working in the community nutrition department of SUMS as teaching and research assistance. As a young researcher, she mainly worked on sarcopenia, muscle wasting, and nutrition supports in older adults. She has some publications in the aforementioned research areas and some submitted articles in this regard. She has also given four international presentations in Iran, Italy, Switzerland, and Austria. As a young researcher, she focuses on nutrition in different life stages and public health. </w:t>
      </w:r>
    </w:p>
    <w:p w14:paraId="192706F2" w14:textId="305AFD52" w:rsidR="00AE3E37" w:rsidRDefault="00A9710C">
      <w:pPr>
        <w:spacing w:before="62"/>
        <w:ind w:left="4217" w:right="4235"/>
        <w:jc w:val="center"/>
        <w:rPr>
          <w:rFonts w:ascii="Arial"/>
          <w:sz w:val="14"/>
        </w:rPr>
      </w:pPr>
      <w:r>
        <w:rPr>
          <w:rFonts w:ascii="Arial"/>
          <w:sz w:val="14"/>
        </w:rPr>
        <w:t>Email:</w:t>
      </w:r>
      <w:r w:rsidR="00163EF9">
        <w:rPr>
          <w:rFonts w:ascii="Arial"/>
          <w:sz w:val="14"/>
        </w:rPr>
        <w:t xml:space="preserve"> nasrin_nasimi1992@yahoo.com </w:t>
      </w:r>
    </w:p>
    <w:p w14:paraId="395C45A2" w14:textId="0CA9FCBD" w:rsidR="00AE3E37" w:rsidRPr="00043EAE" w:rsidRDefault="00292ED9" w:rsidP="00043EAE">
      <w:pPr>
        <w:pStyle w:val="BodyText"/>
        <w:spacing w:before="2"/>
        <w:rPr>
          <w:rFonts w:ascii="Arial"/>
          <w:sz w:val="19"/>
        </w:rPr>
      </w:pPr>
      <w:r>
        <w:rPr>
          <w:noProof/>
        </w:rPr>
        <mc:AlternateContent>
          <mc:Choice Requires="wps">
            <w:drawing>
              <wp:anchor distT="0" distB="0" distL="0" distR="0" simplePos="0" relativeHeight="251654656" behindDoc="0" locked="0" layoutInCell="1" allowOverlap="1" wp14:anchorId="253ADE14" wp14:editId="5E665F5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24FA3A" id="Line 3" o:spid="_x0000_s1026" style="position:absolute;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03A262ED" w14:textId="13B4DC28" w:rsidR="00043EAE" w:rsidRDefault="00A9710C" w:rsidP="00163EF9">
      <w:pPr>
        <w:spacing w:before="39"/>
        <w:ind w:left="100"/>
        <w:rPr>
          <w:rFonts w:ascii="Minion Pro"/>
          <w:b/>
          <w:sz w:val="20"/>
        </w:rPr>
      </w:pPr>
      <w:r w:rsidRPr="00B21A57">
        <w:rPr>
          <w:rFonts w:ascii="Minion Pro"/>
          <w:b/>
          <w:sz w:val="20"/>
        </w:rPr>
        <w:t>Notes/Comments:</w:t>
      </w:r>
    </w:p>
    <w:p w14:paraId="04C937A9" w14:textId="4F98C6C4" w:rsidR="00EA7D51" w:rsidRPr="00333C3A" w:rsidRDefault="00EA7D51" w:rsidP="00333C3A">
      <w:pPr>
        <w:autoSpaceDE w:val="0"/>
        <w:autoSpaceDN w:val="0"/>
        <w:adjustRightInd w:val="0"/>
        <w:rPr>
          <w:b/>
          <w:sz w:val="20"/>
          <w:szCs w:val="20"/>
          <w:lang w:val="en-NZ"/>
        </w:rPr>
        <w:sectPr w:rsidR="00EA7D51" w:rsidRPr="00333C3A" w:rsidSect="008E5477">
          <w:type w:val="continuous"/>
          <w:pgSz w:w="11910" w:h="16840"/>
          <w:pgMar w:top="995" w:right="600" w:bottom="840" w:left="620" w:header="720" w:footer="720" w:gutter="0"/>
          <w:cols w:space="720"/>
        </w:sect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043EAE" w:rsidRPr="00043EAE">
        <w:rPr>
          <w:b/>
          <w:bCs/>
          <w:sz w:val="20"/>
          <w:szCs w:val="20"/>
          <w:lang w:val="en-NZ"/>
        </w:rPr>
        <w:t>Nasrin Nasimi</w:t>
      </w:r>
      <w:r w:rsidRPr="00F35A62">
        <w:rPr>
          <w:sz w:val="20"/>
          <w:szCs w:val="20"/>
          <w:lang w:val="en-NZ"/>
        </w:rPr>
        <w:br/>
        <w:t>Contact number:</w:t>
      </w:r>
      <w:r w:rsidR="00043EAE">
        <w:rPr>
          <w:sz w:val="20"/>
          <w:szCs w:val="20"/>
          <w:lang w:val="en-NZ"/>
        </w:rPr>
        <w:t xml:space="preserve"> </w:t>
      </w:r>
      <w:r w:rsidR="00043EAE" w:rsidRPr="00043EAE">
        <w:rPr>
          <w:b/>
          <w:bCs/>
          <w:sz w:val="20"/>
          <w:szCs w:val="20"/>
          <w:lang w:val="en-NZ"/>
        </w:rPr>
        <w:t>0098 9177083414</w:t>
      </w:r>
      <w:r w:rsidRPr="00F35A62">
        <w:rPr>
          <w:sz w:val="20"/>
          <w:szCs w:val="20"/>
          <w:lang w:val="en-NZ"/>
        </w:rPr>
        <w:br/>
        <w:t>Category: (Oral presentation/ Poster presentation)</w:t>
      </w:r>
      <w:r w:rsidRPr="00F35A62">
        <w:rPr>
          <w:sz w:val="20"/>
          <w:szCs w:val="20"/>
          <w:lang w:val="en-NZ"/>
        </w:rPr>
        <w:br/>
      </w:r>
    </w:p>
    <w:bookmarkEnd w:id="0"/>
    <w:p w14:paraId="3668F908" w14:textId="44C2D333" w:rsidR="00AE3E37" w:rsidRDefault="00AE3E37" w:rsidP="00163EF9">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BB69AC" w14:textId="77777777" w:rsidR="00847917" w:rsidRDefault="00847917">
      <w:r>
        <w:separator/>
      </w:r>
    </w:p>
  </w:endnote>
  <w:endnote w:type="continuationSeparator" w:id="0">
    <w:p w14:paraId="18D7A005" w14:textId="77777777" w:rsidR="00847917" w:rsidRDefault="00847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963B2"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251656192" behindDoc="1" locked="0" layoutInCell="1" allowOverlap="1" wp14:anchorId="24386B94" wp14:editId="2383C18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75155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8C0DA0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386B94" id="_x0000_t202" coordsize="21600,21600" o:spt="202" path="m,l,21600r21600,l21600,xe">
              <v:stroke joinstyle="miter"/>
              <v:path gradientshapeok="t" o:connecttype="rect"/>
            </v:shapetype>
            <v:shape id="Text Box 3" o:spid="_x0000_s1027" type="#_x0000_t202" style="position:absolute;margin-left:35pt;margin-top:798.8pt;width:168.2pt;height:19.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6A75155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8C0DA0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8240" behindDoc="1" locked="0" layoutInCell="1" allowOverlap="1" wp14:anchorId="10A3BA00" wp14:editId="74234BB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EF138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1CCA96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A3BA00" id="Text Box 2" o:spid="_x0000_s1028"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6FEF138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1CCA96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091BC043" wp14:editId="08AB80A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8A817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4949B8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1BC043" id="Text Box 1" o:spid="_x0000_s1029" type="#_x0000_t202" style="position:absolute;margin-left:468.9pt;margin-top:798.8pt;width:91.4pt;height:26.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688A817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4949B8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C5AF1" w14:textId="77777777" w:rsidR="00847917" w:rsidRDefault="00847917">
      <w:r>
        <w:separator/>
      </w:r>
    </w:p>
  </w:footnote>
  <w:footnote w:type="continuationSeparator" w:id="0">
    <w:p w14:paraId="5E1C5C62" w14:textId="77777777" w:rsidR="00847917" w:rsidRDefault="008479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w Cen MT&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vddfvws5pfdx6e2xsnpfrv4rf0ep0zpf5at&quot;&gt;AF meta&lt;record-ids&gt;&lt;item&gt;19812&lt;/item&gt;&lt;/record-ids&gt;&lt;/item&gt;&lt;/Libraries&gt;"/>
  </w:docVars>
  <w:rsids>
    <w:rsidRoot w:val="00AE3E37"/>
    <w:rsid w:val="0000600A"/>
    <w:rsid w:val="00043EAE"/>
    <w:rsid w:val="000534A1"/>
    <w:rsid w:val="0006797A"/>
    <w:rsid w:val="000B4CAA"/>
    <w:rsid w:val="000E2911"/>
    <w:rsid w:val="001263DF"/>
    <w:rsid w:val="00163EF9"/>
    <w:rsid w:val="00292ED9"/>
    <w:rsid w:val="00333C3A"/>
    <w:rsid w:val="00351D9B"/>
    <w:rsid w:val="00380299"/>
    <w:rsid w:val="00404E5B"/>
    <w:rsid w:val="00414F7B"/>
    <w:rsid w:val="004355DC"/>
    <w:rsid w:val="004749B4"/>
    <w:rsid w:val="00475D20"/>
    <w:rsid w:val="00494130"/>
    <w:rsid w:val="004F3523"/>
    <w:rsid w:val="00511176"/>
    <w:rsid w:val="00590D60"/>
    <w:rsid w:val="005973B9"/>
    <w:rsid w:val="005B3A56"/>
    <w:rsid w:val="006060CE"/>
    <w:rsid w:val="0061505C"/>
    <w:rsid w:val="0063497F"/>
    <w:rsid w:val="00714354"/>
    <w:rsid w:val="007A61E5"/>
    <w:rsid w:val="00847917"/>
    <w:rsid w:val="00873DF0"/>
    <w:rsid w:val="008756E6"/>
    <w:rsid w:val="00897DCD"/>
    <w:rsid w:val="00897EC5"/>
    <w:rsid w:val="008A0763"/>
    <w:rsid w:val="008E5477"/>
    <w:rsid w:val="00943300"/>
    <w:rsid w:val="009B2D44"/>
    <w:rsid w:val="00A07E82"/>
    <w:rsid w:val="00A52075"/>
    <w:rsid w:val="00A8071B"/>
    <w:rsid w:val="00A9710C"/>
    <w:rsid w:val="00AB203B"/>
    <w:rsid w:val="00AE3E37"/>
    <w:rsid w:val="00B21A57"/>
    <w:rsid w:val="00BD39E6"/>
    <w:rsid w:val="00BE6743"/>
    <w:rsid w:val="00BE7F33"/>
    <w:rsid w:val="00C33602"/>
    <w:rsid w:val="00C56C74"/>
    <w:rsid w:val="00CD1635"/>
    <w:rsid w:val="00CD6F55"/>
    <w:rsid w:val="00DE3104"/>
    <w:rsid w:val="00DE6170"/>
    <w:rsid w:val="00E13255"/>
    <w:rsid w:val="00E30AAC"/>
    <w:rsid w:val="00E95D97"/>
    <w:rsid w:val="00EA7D51"/>
    <w:rsid w:val="00EB2FCA"/>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3D40CA"/>
  <w15:docId w15:val="{ABE35F62-26C8-4BC4-8D14-B29C568CD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Title">
    <w:name w:val="EndNote Bibliography Title"/>
    <w:basedOn w:val="Normal"/>
    <w:link w:val="EndNoteBibliographyTitleChar"/>
    <w:rsid w:val="00E13255"/>
    <w:pPr>
      <w:jc w:val="center"/>
    </w:pPr>
    <w:rPr>
      <w:noProof/>
    </w:rPr>
  </w:style>
  <w:style w:type="character" w:customStyle="1" w:styleId="EndNoteBibliographyTitleChar">
    <w:name w:val="EndNote Bibliography Title Char"/>
    <w:basedOn w:val="DefaultParagraphFont"/>
    <w:link w:val="EndNoteBibliographyTitle"/>
    <w:rsid w:val="00E13255"/>
    <w:rPr>
      <w:rFonts w:ascii="Tw Cen MT" w:eastAsia="Tw Cen MT" w:hAnsi="Tw Cen MT" w:cs="Tw Cen MT"/>
      <w:noProof/>
    </w:rPr>
  </w:style>
  <w:style w:type="paragraph" w:customStyle="1" w:styleId="EndNoteBibliography">
    <w:name w:val="EndNote Bibliography"/>
    <w:basedOn w:val="Normal"/>
    <w:link w:val="EndNoteBibliographyChar"/>
    <w:rsid w:val="00E13255"/>
    <w:pPr>
      <w:jc w:val="both"/>
    </w:pPr>
    <w:rPr>
      <w:noProof/>
    </w:rPr>
  </w:style>
  <w:style w:type="character" w:customStyle="1" w:styleId="EndNoteBibliographyChar">
    <w:name w:val="EndNote Bibliography Char"/>
    <w:basedOn w:val="DefaultParagraphFont"/>
    <w:link w:val="EndNoteBibliography"/>
    <w:rsid w:val="00E13255"/>
    <w:rPr>
      <w:rFonts w:ascii="Tw Cen MT" w:eastAsia="Tw Cen MT" w:hAnsi="Tw Cen MT" w:cs="Tw Cen MT"/>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935</Words>
  <Characters>5331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SOFT</cp:lastModifiedBy>
  <cp:revision>4</cp:revision>
  <dcterms:created xsi:type="dcterms:W3CDTF">2021-12-16T17:25:00Z</dcterms:created>
  <dcterms:modified xsi:type="dcterms:W3CDTF">2021-12-17T08:25:00Z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