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ECD" w:rsidRPr="001E4ECD" w:rsidRDefault="001E4ECD" w:rsidP="001E4ECD">
      <w:pPr>
        <w:autoSpaceDE w:val="0"/>
        <w:autoSpaceDN w:val="0"/>
        <w:bidi w:val="0"/>
        <w:adjustRightInd w:val="0"/>
        <w:spacing w:after="0" w:line="360" w:lineRule="auto"/>
        <w:jc w:val="center"/>
        <w:rPr>
          <w:rFonts w:asciiTheme="majorBidi" w:hAnsiTheme="majorBidi" w:cstheme="majorBidi"/>
          <w:b/>
          <w:bCs/>
          <w:color w:val="000000" w:themeColor="text1"/>
        </w:rPr>
      </w:pPr>
      <w:r w:rsidRPr="001E4ECD">
        <w:rPr>
          <w:rFonts w:asciiTheme="majorBidi" w:hAnsiTheme="majorBidi" w:cstheme="majorBidi"/>
          <w:b/>
          <w:bCs/>
          <w:color w:val="000000" w:themeColor="text1"/>
        </w:rPr>
        <w:t>Assessment of Nutrition Patterns among Nursing Students at Misurata University</w:t>
      </w:r>
    </w:p>
    <w:p w:rsidR="001E4ECD" w:rsidRPr="001E4ECD" w:rsidRDefault="001E4ECD" w:rsidP="001E4ECD">
      <w:pPr>
        <w:autoSpaceDE w:val="0"/>
        <w:autoSpaceDN w:val="0"/>
        <w:bidi w:val="0"/>
        <w:adjustRightInd w:val="0"/>
        <w:spacing w:after="0" w:line="360" w:lineRule="auto"/>
        <w:jc w:val="center"/>
        <w:rPr>
          <w:rFonts w:asciiTheme="majorBidi" w:hAnsiTheme="majorBidi" w:cstheme="majorBidi"/>
          <w:b/>
          <w:bCs/>
          <w:color w:val="000000" w:themeColor="text1"/>
        </w:rPr>
      </w:pPr>
    </w:p>
    <w:p w:rsidR="001E4ECD" w:rsidRPr="00FA6A56" w:rsidRDefault="001E4ECD" w:rsidP="00FA6A56">
      <w:pPr>
        <w:autoSpaceDE w:val="0"/>
        <w:autoSpaceDN w:val="0"/>
        <w:bidi w:val="0"/>
        <w:adjustRightInd w:val="0"/>
        <w:spacing w:after="0" w:line="360" w:lineRule="auto"/>
        <w:jc w:val="center"/>
        <w:rPr>
          <w:rFonts w:asciiTheme="majorBidi" w:hAnsiTheme="majorBidi" w:cstheme="majorBidi"/>
          <w:color w:val="000000" w:themeColor="text1"/>
          <w:sz w:val="24"/>
          <w:szCs w:val="24"/>
          <w:vertAlign w:val="superscript"/>
        </w:rPr>
      </w:pPr>
      <w:r w:rsidRPr="001E4ECD">
        <w:rPr>
          <w:rFonts w:asciiTheme="majorBidi" w:eastAsia="Times New Roman" w:hAnsiTheme="majorBidi" w:cstheme="majorBidi"/>
          <w:sz w:val="24"/>
          <w:szCs w:val="24"/>
        </w:rPr>
        <w:t>Ayman Mustafa</w:t>
      </w:r>
      <w:r w:rsidRPr="001E4ECD">
        <w:rPr>
          <w:rFonts w:asciiTheme="majorBidi" w:eastAsia="Times New Roman" w:hAnsiTheme="majorBidi" w:cstheme="majorBidi"/>
          <w:sz w:val="24"/>
          <w:szCs w:val="24"/>
          <w:rtl/>
        </w:rPr>
        <w:t>٭</w:t>
      </w:r>
      <w:r w:rsidR="00FA6A56">
        <w:rPr>
          <w:rFonts w:asciiTheme="majorBidi" w:eastAsia="Times New Roman" w:hAnsiTheme="majorBidi" w:cstheme="majorBidi"/>
          <w:sz w:val="24"/>
          <w:szCs w:val="24"/>
          <w:vertAlign w:val="superscript"/>
        </w:rPr>
        <w:t>1</w:t>
      </w:r>
      <w:r w:rsidRPr="001E4ECD">
        <w:rPr>
          <w:rFonts w:asciiTheme="majorBidi" w:eastAsia="Times New Roman" w:hAnsiTheme="majorBidi" w:cstheme="majorBidi"/>
          <w:sz w:val="24"/>
          <w:szCs w:val="24"/>
        </w:rPr>
        <w:t>, Ahmed Elhamroush</w:t>
      </w:r>
      <w:r w:rsidR="00FA6A56">
        <w:rPr>
          <w:rFonts w:asciiTheme="majorBidi" w:eastAsia="Times New Roman" w:hAnsiTheme="majorBidi" w:cstheme="majorBidi"/>
          <w:sz w:val="24"/>
          <w:szCs w:val="24"/>
          <w:vertAlign w:val="superscript"/>
        </w:rPr>
        <w:t>1</w:t>
      </w:r>
      <w:r w:rsidRPr="001E4ECD">
        <w:rPr>
          <w:rFonts w:asciiTheme="majorBidi" w:eastAsia="Times New Roman" w:hAnsiTheme="majorBidi" w:cstheme="majorBidi"/>
          <w:sz w:val="24"/>
          <w:szCs w:val="24"/>
        </w:rPr>
        <w:t xml:space="preserve">., </w:t>
      </w:r>
      <w:proofErr w:type="spellStart"/>
      <w:r w:rsidRPr="001E4ECD">
        <w:rPr>
          <w:rFonts w:asciiTheme="majorBidi" w:eastAsia="Times New Roman" w:hAnsiTheme="majorBidi" w:cstheme="majorBidi"/>
          <w:sz w:val="24"/>
          <w:szCs w:val="24"/>
        </w:rPr>
        <w:t>Abdalla</w:t>
      </w:r>
      <w:proofErr w:type="spellEnd"/>
      <w:r w:rsidRPr="001E4ECD">
        <w:rPr>
          <w:rFonts w:asciiTheme="majorBidi" w:eastAsia="Times New Roman" w:hAnsiTheme="majorBidi" w:cstheme="majorBidi"/>
          <w:sz w:val="24"/>
          <w:szCs w:val="24"/>
        </w:rPr>
        <w:t xml:space="preserve"> </w:t>
      </w:r>
      <w:r w:rsidRPr="001E4ECD">
        <w:rPr>
          <w:rFonts w:asciiTheme="majorBidi" w:eastAsia="Times New Roman" w:hAnsiTheme="majorBidi" w:cstheme="majorBidi"/>
          <w:color w:val="000000" w:themeColor="text1"/>
          <w:sz w:val="24"/>
          <w:szCs w:val="24"/>
        </w:rPr>
        <w:t>Elgenaidi</w:t>
      </w:r>
      <w:r w:rsidR="00FA6A56">
        <w:rPr>
          <w:rFonts w:asciiTheme="majorBidi" w:eastAsia="Times New Roman" w:hAnsiTheme="majorBidi" w:cstheme="majorBidi"/>
          <w:color w:val="000000" w:themeColor="text1"/>
          <w:sz w:val="24"/>
          <w:szCs w:val="24"/>
          <w:vertAlign w:val="superscript"/>
        </w:rPr>
        <w:t>1</w:t>
      </w:r>
      <w:r w:rsidRPr="001E4ECD">
        <w:rPr>
          <w:rFonts w:asciiTheme="majorBidi" w:eastAsia="Times New Roman" w:hAnsiTheme="majorBidi" w:cstheme="majorBidi"/>
          <w:color w:val="000000" w:themeColor="text1"/>
          <w:sz w:val="24"/>
          <w:szCs w:val="24"/>
        </w:rPr>
        <w:t>.,</w:t>
      </w:r>
      <w:r w:rsidRPr="001E4ECD">
        <w:rPr>
          <w:rFonts w:asciiTheme="majorBidi" w:eastAsia="Times New Roman" w:hAnsiTheme="majorBidi" w:cstheme="majorBidi"/>
          <w:sz w:val="24"/>
          <w:szCs w:val="24"/>
        </w:rPr>
        <w:t xml:space="preserve"> Salem </w:t>
      </w:r>
      <w:r w:rsidRPr="001E4ECD">
        <w:rPr>
          <w:rFonts w:asciiTheme="majorBidi" w:hAnsiTheme="majorBidi" w:cstheme="majorBidi"/>
          <w:color w:val="201F1E"/>
          <w:sz w:val="22"/>
          <w:szCs w:val="22"/>
          <w:shd w:val="clear" w:color="auto" w:fill="FFFFFF"/>
        </w:rPr>
        <w:t>Elwahaishi</w:t>
      </w:r>
      <w:r w:rsidR="00FA6A56">
        <w:rPr>
          <w:rFonts w:asciiTheme="majorBidi" w:hAnsiTheme="majorBidi" w:cstheme="majorBidi"/>
          <w:color w:val="201F1E"/>
          <w:sz w:val="22"/>
          <w:szCs w:val="22"/>
          <w:shd w:val="clear" w:color="auto" w:fill="FFFFFF"/>
          <w:vertAlign w:val="superscript"/>
        </w:rPr>
        <w:t>1</w:t>
      </w:r>
      <w:r w:rsidRPr="001E4ECD">
        <w:rPr>
          <w:rFonts w:asciiTheme="majorBidi" w:eastAsia="Times New Roman" w:hAnsiTheme="majorBidi" w:cstheme="majorBidi"/>
          <w:sz w:val="24"/>
          <w:szCs w:val="24"/>
        </w:rPr>
        <w:t xml:space="preserve">, </w:t>
      </w:r>
      <w:r w:rsidRPr="001E4ECD">
        <w:rPr>
          <w:rFonts w:asciiTheme="majorBidi" w:hAnsiTheme="majorBidi" w:cstheme="majorBidi"/>
          <w:color w:val="000000" w:themeColor="text1"/>
          <w:sz w:val="24"/>
          <w:szCs w:val="24"/>
        </w:rPr>
        <w:t xml:space="preserve">Rania </w:t>
      </w:r>
      <w:r w:rsidRPr="00FA6A56">
        <w:rPr>
          <w:rFonts w:asciiTheme="majorBidi" w:hAnsiTheme="majorBidi" w:cstheme="majorBidi"/>
          <w:color w:val="000000" w:themeColor="text1"/>
          <w:sz w:val="24"/>
          <w:szCs w:val="24"/>
        </w:rPr>
        <w:t>Elmahdi</w:t>
      </w:r>
      <w:r w:rsidR="00FA6A56">
        <w:rPr>
          <w:rFonts w:asciiTheme="majorBidi" w:hAnsiTheme="majorBidi" w:cstheme="majorBidi"/>
          <w:color w:val="000000" w:themeColor="text1"/>
          <w:sz w:val="24"/>
          <w:szCs w:val="24"/>
          <w:vertAlign w:val="superscript"/>
        </w:rPr>
        <w:t>1</w:t>
      </w:r>
      <w:r w:rsidR="00FA6A56" w:rsidRPr="00FA6A56">
        <w:rPr>
          <w:rFonts w:asciiTheme="majorBidi" w:hAnsiTheme="majorBidi" w:cstheme="majorBidi"/>
          <w:color w:val="000000" w:themeColor="text1"/>
          <w:sz w:val="24"/>
          <w:szCs w:val="24"/>
        </w:rPr>
        <w:t xml:space="preserve">, </w:t>
      </w:r>
      <w:proofErr w:type="spellStart"/>
      <w:r w:rsidR="00FA6A56" w:rsidRPr="00FA6A56">
        <w:rPr>
          <w:rFonts w:asciiTheme="majorBidi" w:hAnsiTheme="majorBidi" w:cstheme="majorBidi"/>
          <w:color w:val="000000" w:themeColor="text1"/>
          <w:sz w:val="24"/>
          <w:szCs w:val="24"/>
        </w:rPr>
        <w:t>Mohanad</w:t>
      </w:r>
      <w:proofErr w:type="spellEnd"/>
      <w:r w:rsidR="00FA6A56" w:rsidRPr="00FA6A56">
        <w:rPr>
          <w:rFonts w:asciiTheme="majorBidi" w:hAnsiTheme="majorBidi" w:cstheme="majorBidi"/>
          <w:color w:val="000000" w:themeColor="text1"/>
          <w:sz w:val="24"/>
          <w:szCs w:val="24"/>
        </w:rPr>
        <w:t xml:space="preserve"> Ba</w:t>
      </w:r>
      <w:r w:rsidR="00FA6A56">
        <w:rPr>
          <w:rFonts w:asciiTheme="majorBidi" w:hAnsiTheme="majorBidi" w:cstheme="majorBidi"/>
          <w:color w:val="000000" w:themeColor="text1"/>
          <w:sz w:val="24"/>
          <w:szCs w:val="24"/>
        </w:rPr>
        <w:t>s</w:t>
      </w:r>
      <w:r w:rsidR="00FA6A56" w:rsidRPr="00FA6A56">
        <w:rPr>
          <w:rFonts w:asciiTheme="majorBidi" w:hAnsiTheme="majorBidi" w:cstheme="majorBidi"/>
          <w:color w:val="000000" w:themeColor="text1"/>
          <w:sz w:val="24"/>
          <w:szCs w:val="24"/>
        </w:rPr>
        <w:t>hari</w:t>
      </w:r>
      <w:r w:rsidR="00FA6A56">
        <w:rPr>
          <w:rFonts w:asciiTheme="majorBidi" w:hAnsiTheme="majorBidi" w:cstheme="majorBidi"/>
          <w:color w:val="000000" w:themeColor="text1"/>
          <w:sz w:val="24"/>
          <w:szCs w:val="24"/>
          <w:vertAlign w:val="superscript"/>
        </w:rPr>
        <w:t>2</w:t>
      </w:r>
    </w:p>
    <w:p w:rsidR="00FA6A56" w:rsidRDefault="00FA6A56" w:rsidP="00FA6A56">
      <w:pPr>
        <w:bidi w:val="0"/>
        <w:spacing w:after="0" w:line="480" w:lineRule="auto"/>
        <w:rPr>
          <w:rFonts w:asciiTheme="majorBidi" w:eastAsia="Times New Roman" w:hAnsiTheme="majorBidi" w:cstheme="majorBidi"/>
          <w:sz w:val="24"/>
          <w:szCs w:val="24"/>
        </w:rPr>
      </w:pPr>
      <w:r>
        <w:rPr>
          <w:rFonts w:asciiTheme="majorBidi" w:eastAsia="Times New Roman" w:hAnsiTheme="majorBidi" w:cstheme="majorBidi"/>
          <w:sz w:val="24"/>
          <w:szCs w:val="24"/>
          <w:vertAlign w:val="superscript"/>
        </w:rPr>
        <w:t>1</w:t>
      </w:r>
      <w:r w:rsidR="001E4ECD" w:rsidRPr="001E4ECD">
        <w:rPr>
          <w:rFonts w:asciiTheme="majorBidi" w:eastAsia="Times New Roman" w:hAnsiTheme="majorBidi" w:cstheme="majorBidi"/>
          <w:sz w:val="24"/>
          <w:szCs w:val="24"/>
        </w:rPr>
        <w:t>Faculty of Nursing and Health Sciences, Misurata University, P.O. Box: 2478, Misurata, Libya.</w:t>
      </w:r>
    </w:p>
    <w:p w:rsidR="00FA6A56" w:rsidRPr="00FA6A56" w:rsidRDefault="00FA6A56" w:rsidP="00FA6A56">
      <w:pPr>
        <w:bidi w:val="0"/>
        <w:spacing w:after="0" w:line="480" w:lineRule="auto"/>
        <w:rPr>
          <w:rFonts w:asciiTheme="majorBidi" w:eastAsia="Times New Roman" w:hAnsiTheme="majorBidi" w:cstheme="majorBidi"/>
          <w:sz w:val="24"/>
          <w:szCs w:val="24"/>
        </w:rPr>
      </w:pPr>
      <w:r>
        <w:rPr>
          <w:rFonts w:asciiTheme="majorBidi" w:eastAsia="Times New Roman" w:hAnsiTheme="majorBidi" w:cstheme="majorBidi"/>
          <w:sz w:val="24"/>
          <w:szCs w:val="24"/>
          <w:vertAlign w:val="superscript"/>
        </w:rPr>
        <w:t>2</w:t>
      </w:r>
      <w:r w:rsidRPr="00D26F7F">
        <w:rPr>
          <w:rFonts w:asciiTheme="majorBidi" w:hAnsiTheme="majorBidi" w:cstheme="majorBidi"/>
          <w:color w:val="000000"/>
          <w:sz w:val="24"/>
          <w:szCs w:val="24"/>
        </w:rPr>
        <w:t xml:space="preserve">A’Sharqiah University, Dept. of Food Science and Human Nutrition, </w:t>
      </w:r>
      <w:proofErr w:type="spellStart"/>
      <w:r>
        <w:rPr>
          <w:rFonts w:asciiTheme="majorBidi" w:hAnsiTheme="majorBidi" w:cstheme="majorBidi"/>
          <w:color w:val="000000"/>
          <w:sz w:val="24"/>
          <w:szCs w:val="24"/>
        </w:rPr>
        <w:t>P.</w:t>
      </w:r>
      <w:proofErr w:type="gramStart"/>
      <w:r>
        <w:rPr>
          <w:rFonts w:asciiTheme="majorBidi" w:hAnsiTheme="majorBidi" w:cstheme="majorBidi"/>
          <w:color w:val="000000"/>
          <w:sz w:val="24"/>
          <w:szCs w:val="24"/>
        </w:rPr>
        <w:t>O.Box</w:t>
      </w:r>
      <w:proofErr w:type="spellEnd"/>
      <w:proofErr w:type="gramEnd"/>
      <w:r>
        <w:rPr>
          <w:rFonts w:asciiTheme="majorBidi" w:hAnsiTheme="majorBidi" w:cstheme="majorBidi"/>
          <w:color w:val="000000"/>
          <w:sz w:val="24"/>
          <w:szCs w:val="24"/>
        </w:rPr>
        <w:t xml:space="preserve"> 42</w:t>
      </w:r>
      <w:r w:rsidRPr="00D26F7F">
        <w:rPr>
          <w:rFonts w:asciiTheme="majorBidi" w:hAnsiTheme="majorBidi" w:cstheme="majorBidi"/>
          <w:color w:val="000000"/>
          <w:sz w:val="24"/>
          <w:szCs w:val="24"/>
        </w:rPr>
        <w:t xml:space="preserve">, </w:t>
      </w:r>
      <w:proofErr w:type="spellStart"/>
      <w:r w:rsidRPr="00D26F7F">
        <w:rPr>
          <w:rFonts w:asciiTheme="majorBidi" w:hAnsiTheme="majorBidi" w:cstheme="majorBidi"/>
          <w:color w:val="000000"/>
          <w:sz w:val="24"/>
          <w:szCs w:val="24"/>
        </w:rPr>
        <w:t>Ibra</w:t>
      </w:r>
      <w:proofErr w:type="spellEnd"/>
      <w:r w:rsidRPr="00D26F7F">
        <w:rPr>
          <w:rFonts w:asciiTheme="majorBidi" w:hAnsiTheme="majorBidi" w:cstheme="majorBidi"/>
          <w:color w:val="000000"/>
          <w:sz w:val="24"/>
          <w:szCs w:val="24"/>
        </w:rPr>
        <w:t>, Sultanate of Oman.</w:t>
      </w:r>
    </w:p>
    <w:p w:rsidR="001E4ECD" w:rsidRPr="001E4ECD" w:rsidRDefault="001E4ECD" w:rsidP="001E4ECD">
      <w:pPr>
        <w:autoSpaceDE w:val="0"/>
        <w:autoSpaceDN w:val="0"/>
        <w:bidi w:val="0"/>
        <w:adjustRightInd w:val="0"/>
        <w:spacing w:after="0" w:line="360" w:lineRule="auto"/>
        <w:jc w:val="center"/>
        <w:rPr>
          <w:rFonts w:asciiTheme="majorBidi" w:hAnsiTheme="majorBidi" w:cstheme="majorBidi"/>
          <w:color w:val="000000" w:themeColor="text1"/>
          <w:sz w:val="22"/>
          <w:szCs w:val="22"/>
        </w:rPr>
      </w:pPr>
      <w:proofErr w:type="spellStart"/>
      <w:r w:rsidRPr="001E4ECD">
        <w:rPr>
          <w:rFonts w:asciiTheme="majorBidi" w:hAnsiTheme="majorBidi" w:cstheme="majorBidi"/>
          <w:color w:val="000000" w:themeColor="text1"/>
          <w:sz w:val="22"/>
          <w:szCs w:val="22"/>
        </w:rPr>
        <w:t>E.mal</w:t>
      </w:r>
      <w:proofErr w:type="spellEnd"/>
      <w:r w:rsidRPr="001E4ECD">
        <w:rPr>
          <w:rFonts w:asciiTheme="majorBidi" w:hAnsiTheme="majorBidi" w:cstheme="majorBidi"/>
          <w:color w:val="000000" w:themeColor="text1"/>
          <w:sz w:val="22"/>
          <w:szCs w:val="22"/>
        </w:rPr>
        <w:t xml:space="preserve"> of corresponding author: </w:t>
      </w:r>
      <w:hyperlink r:id="rId4" w:history="1">
        <w:r w:rsidRPr="001E4ECD">
          <w:rPr>
            <w:rStyle w:val="Hyperlink"/>
            <w:rFonts w:asciiTheme="majorBidi" w:hAnsiTheme="majorBidi" w:cstheme="majorBidi"/>
            <w:sz w:val="22"/>
            <w:szCs w:val="22"/>
          </w:rPr>
          <w:t>aymanssw@hotmail.com</w:t>
        </w:r>
      </w:hyperlink>
      <w:r w:rsidRPr="001E4ECD">
        <w:rPr>
          <w:rFonts w:asciiTheme="majorBidi" w:hAnsiTheme="majorBidi" w:cstheme="majorBidi"/>
          <w:b/>
          <w:bCs/>
          <w:color w:val="000000" w:themeColor="text1"/>
          <w:sz w:val="22"/>
          <w:szCs w:val="22"/>
        </w:rPr>
        <w:t xml:space="preserve">, </w:t>
      </w:r>
      <w:r w:rsidR="0001560D" w:rsidRPr="001E4ECD">
        <w:rPr>
          <w:rFonts w:asciiTheme="majorBidi" w:hAnsiTheme="majorBidi" w:cstheme="majorBidi"/>
          <w:color w:val="000000" w:themeColor="text1"/>
          <w:sz w:val="22"/>
          <w:szCs w:val="22"/>
        </w:rPr>
        <w:t>Cellphone</w:t>
      </w:r>
      <w:r w:rsidRPr="001E4ECD">
        <w:rPr>
          <w:rFonts w:asciiTheme="majorBidi" w:hAnsiTheme="majorBidi" w:cstheme="majorBidi"/>
          <w:color w:val="000000" w:themeColor="text1"/>
          <w:sz w:val="22"/>
          <w:szCs w:val="22"/>
        </w:rPr>
        <w:t>: 00218928722538</w:t>
      </w:r>
    </w:p>
    <w:p w:rsidR="001E4ECD" w:rsidRPr="001E4ECD" w:rsidRDefault="001E4ECD" w:rsidP="001E4ECD">
      <w:pPr>
        <w:autoSpaceDE w:val="0"/>
        <w:autoSpaceDN w:val="0"/>
        <w:bidi w:val="0"/>
        <w:adjustRightInd w:val="0"/>
        <w:spacing w:after="0" w:line="360" w:lineRule="auto"/>
        <w:rPr>
          <w:rFonts w:asciiTheme="majorBidi" w:hAnsiTheme="majorBidi" w:cstheme="majorBidi"/>
          <w:b/>
          <w:bCs/>
          <w:color w:val="000000" w:themeColor="text1"/>
          <w:sz w:val="24"/>
          <w:szCs w:val="24"/>
        </w:rPr>
      </w:pPr>
      <w:r w:rsidRPr="001E4ECD">
        <w:rPr>
          <w:rFonts w:asciiTheme="majorBidi" w:hAnsiTheme="majorBidi" w:cstheme="majorBidi"/>
          <w:b/>
          <w:bCs/>
          <w:color w:val="000000" w:themeColor="text1"/>
          <w:sz w:val="24"/>
          <w:szCs w:val="24"/>
        </w:rPr>
        <w:t xml:space="preserve">Abstract </w:t>
      </w:r>
    </w:p>
    <w:p w:rsidR="001E4ECD" w:rsidRPr="001E4ECD" w:rsidRDefault="001E4ECD" w:rsidP="001E4ECD">
      <w:pPr>
        <w:bidi w:val="0"/>
        <w:spacing w:line="360" w:lineRule="auto"/>
        <w:jc w:val="both"/>
        <w:rPr>
          <w:rFonts w:asciiTheme="majorBidi" w:hAnsiTheme="majorBidi" w:cstheme="majorBidi"/>
          <w:b/>
          <w:bCs/>
          <w:sz w:val="24"/>
          <w:szCs w:val="24"/>
        </w:rPr>
      </w:pPr>
      <w:r w:rsidRPr="001E4ECD">
        <w:rPr>
          <w:rFonts w:asciiTheme="majorBidi" w:hAnsiTheme="majorBidi" w:cstheme="majorBidi"/>
          <w:color w:val="222222"/>
          <w:sz w:val="24"/>
          <w:szCs w:val="24"/>
        </w:rPr>
        <w:t>Good nutrition pattern is reflecting a healthy and nutritionally adequate diet to help promote health and prevent chronic disease for current and future generations</w:t>
      </w:r>
      <w:r w:rsidRPr="001E4ECD">
        <w:rPr>
          <w:rFonts w:asciiTheme="majorBidi" w:eastAsia="Times New Roman" w:hAnsiTheme="majorBidi" w:cstheme="majorBidi"/>
          <w:color w:val="000000" w:themeColor="text1"/>
          <w:w w:val="110"/>
          <w:sz w:val="24"/>
          <w:szCs w:val="24"/>
        </w:rPr>
        <w:t>.</w:t>
      </w:r>
      <w:r w:rsidRPr="001E4ECD">
        <w:rPr>
          <w:rFonts w:asciiTheme="majorBidi" w:hAnsiTheme="majorBidi" w:cstheme="majorBidi"/>
          <w:color w:val="000000" w:themeColor="text1"/>
          <w:sz w:val="24"/>
          <w:szCs w:val="24"/>
        </w:rPr>
        <w:t xml:space="preserve"> The present study was conducted to assess dietary patterns and eating behavior among nursing students at Misurata University. In addition to clarify the correlationship between hemoglobin level, gender, dietary patterns and eating behavior. Sixty-one students age 18-30 years old were selected randomly, within six months from April up to December 2018. Pearson correlation was used to find out any correlation between hemoglobin and measured parameters. The results were revealed that 16% of subjects, they had anemic. A significant (</w:t>
      </w:r>
      <w:r w:rsidRPr="001E4ECD">
        <w:rPr>
          <w:rFonts w:asciiTheme="majorBidi" w:hAnsiTheme="majorBidi" w:cstheme="majorBidi"/>
          <w:i/>
          <w:iCs/>
          <w:color w:val="000000" w:themeColor="text1"/>
          <w:sz w:val="24"/>
          <w:szCs w:val="24"/>
        </w:rPr>
        <w:t>P</w:t>
      </w:r>
      <w:r w:rsidRPr="001E4ECD">
        <w:rPr>
          <w:rFonts w:asciiTheme="majorBidi" w:hAnsiTheme="majorBidi" w:cstheme="majorBidi"/>
          <w:color w:val="000000" w:themeColor="text1"/>
          <w:sz w:val="24"/>
          <w:szCs w:val="24"/>
        </w:rPr>
        <w:t xml:space="preserve">˂0.05) correlation between </w:t>
      </w:r>
      <w:proofErr w:type="spellStart"/>
      <w:r w:rsidRPr="001E4ECD">
        <w:rPr>
          <w:rFonts w:asciiTheme="majorBidi" w:hAnsiTheme="majorBidi" w:cstheme="majorBidi"/>
          <w:color w:val="000000" w:themeColor="text1"/>
          <w:sz w:val="24"/>
          <w:szCs w:val="24"/>
        </w:rPr>
        <w:t>Hb</w:t>
      </w:r>
      <w:proofErr w:type="spellEnd"/>
      <w:r w:rsidRPr="001E4ECD">
        <w:rPr>
          <w:rFonts w:asciiTheme="majorBidi" w:hAnsiTheme="majorBidi" w:cstheme="majorBidi"/>
          <w:color w:val="000000" w:themeColor="text1"/>
          <w:sz w:val="24"/>
          <w:szCs w:val="24"/>
        </w:rPr>
        <w:t xml:space="preserve"> level, sex, skipping and breakfast were detected. Whereas, there was no significant correlation (</w:t>
      </w:r>
      <w:r w:rsidRPr="001E4ECD">
        <w:rPr>
          <w:rFonts w:asciiTheme="majorBidi" w:hAnsiTheme="majorBidi" w:cstheme="majorBidi"/>
          <w:i/>
          <w:iCs/>
          <w:color w:val="000000" w:themeColor="text1"/>
          <w:sz w:val="24"/>
          <w:szCs w:val="24"/>
        </w:rPr>
        <w:t>P</w:t>
      </w:r>
      <w:r w:rsidRPr="001E4ECD">
        <w:rPr>
          <w:rFonts w:asciiTheme="majorBidi" w:hAnsiTheme="majorBidi" w:cstheme="majorBidi"/>
          <w:color w:val="000000" w:themeColor="text1"/>
          <w:sz w:val="24"/>
          <w:szCs w:val="24"/>
        </w:rPr>
        <w:t xml:space="preserve">&gt;0.05) between </w:t>
      </w:r>
      <w:proofErr w:type="spellStart"/>
      <w:r w:rsidRPr="001E4ECD">
        <w:rPr>
          <w:rFonts w:asciiTheme="majorBidi" w:hAnsiTheme="majorBidi" w:cstheme="majorBidi"/>
          <w:color w:val="000000" w:themeColor="text1"/>
          <w:sz w:val="24"/>
          <w:szCs w:val="24"/>
        </w:rPr>
        <w:t>Hb</w:t>
      </w:r>
      <w:proofErr w:type="spellEnd"/>
      <w:r w:rsidRPr="001E4ECD">
        <w:rPr>
          <w:rFonts w:asciiTheme="majorBidi" w:hAnsiTheme="majorBidi" w:cstheme="majorBidi"/>
          <w:color w:val="000000" w:themeColor="text1"/>
          <w:sz w:val="24"/>
          <w:szCs w:val="24"/>
        </w:rPr>
        <w:t xml:space="preserve"> level and BMI. Some </w:t>
      </w:r>
      <w:r w:rsidRPr="001E4ECD">
        <w:rPr>
          <w:rFonts w:asciiTheme="majorBidi" w:hAnsiTheme="majorBidi" w:cstheme="majorBidi"/>
          <w:color w:val="000000"/>
          <w:sz w:val="24"/>
          <w:szCs w:val="24"/>
        </w:rPr>
        <w:t>bad dietary habits were observed for many students, they were skipped breakfast and eat fast meal many times during a week</w:t>
      </w:r>
      <w:r w:rsidRPr="001E4ECD">
        <w:rPr>
          <w:rFonts w:asciiTheme="majorBidi" w:hAnsiTheme="majorBidi" w:cstheme="majorBidi"/>
          <w:color w:val="000000" w:themeColor="text1"/>
          <w:sz w:val="24"/>
          <w:szCs w:val="24"/>
        </w:rPr>
        <w:t xml:space="preserve">. </w:t>
      </w:r>
      <w:r w:rsidRPr="001E4ECD">
        <w:rPr>
          <w:rFonts w:asciiTheme="majorBidi" w:hAnsiTheme="majorBidi" w:cstheme="majorBidi"/>
          <w:color w:val="000000"/>
          <w:sz w:val="24"/>
          <w:szCs w:val="24"/>
        </w:rPr>
        <w:t xml:space="preserve">The majority of students don’t eat rich </w:t>
      </w:r>
      <w:proofErr w:type="spellStart"/>
      <w:r w:rsidRPr="001E4ECD">
        <w:rPr>
          <w:rFonts w:asciiTheme="majorBidi" w:hAnsiTheme="majorBidi" w:cstheme="majorBidi"/>
          <w:color w:val="000000"/>
          <w:sz w:val="24"/>
          <w:szCs w:val="24"/>
        </w:rPr>
        <w:t>heme</w:t>
      </w:r>
      <w:proofErr w:type="spellEnd"/>
      <w:r w:rsidRPr="001E4ECD">
        <w:rPr>
          <w:rFonts w:asciiTheme="majorBidi" w:hAnsiTheme="majorBidi" w:cstheme="majorBidi"/>
          <w:color w:val="000000"/>
          <w:sz w:val="24"/>
          <w:szCs w:val="24"/>
        </w:rPr>
        <w:t xml:space="preserve"> iron source such as fish, eggs and red meat, that mean they were not get diverting food. It had seen that the majority of students have consumed many servings of milk and dairy products on daily base rather than fruits and vegetables, this may have attributed to community habits and socioeconomic factor.</w:t>
      </w:r>
      <w:r w:rsidRPr="001E4ECD">
        <w:rPr>
          <w:rFonts w:asciiTheme="majorBidi" w:hAnsiTheme="majorBidi" w:cstheme="majorBidi"/>
          <w:b/>
          <w:bCs/>
          <w:sz w:val="24"/>
          <w:szCs w:val="24"/>
        </w:rPr>
        <w:t xml:space="preserve"> </w:t>
      </w:r>
      <w:r w:rsidRPr="001E4ECD">
        <w:rPr>
          <w:rFonts w:asciiTheme="majorBidi" w:hAnsiTheme="majorBidi" w:cstheme="majorBidi"/>
          <w:color w:val="000000"/>
          <w:sz w:val="24"/>
          <w:szCs w:val="24"/>
        </w:rPr>
        <w:t>The nutrition education is essential for change lifestyle and dietary habits, importance of breakfast, regular exercise for improve appetite, use food fortification and diet diversification should be appreciated.</w:t>
      </w:r>
    </w:p>
    <w:p w:rsidR="001E4ECD" w:rsidRPr="001E4ECD" w:rsidRDefault="001E4ECD" w:rsidP="001E4ECD">
      <w:pPr>
        <w:bidi w:val="0"/>
        <w:spacing w:line="360" w:lineRule="auto"/>
        <w:jc w:val="both"/>
        <w:rPr>
          <w:rFonts w:asciiTheme="majorBidi" w:hAnsiTheme="majorBidi" w:cstheme="majorBidi"/>
          <w:b/>
          <w:bCs/>
          <w:color w:val="000000" w:themeColor="text1"/>
          <w:sz w:val="24"/>
          <w:szCs w:val="24"/>
        </w:rPr>
      </w:pPr>
      <w:r w:rsidRPr="001E4ECD">
        <w:rPr>
          <w:rFonts w:asciiTheme="majorBidi" w:hAnsiTheme="majorBidi" w:cstheme="majorBidi"/>
          <w:b/>
          <w:bCs/>
          <w:color w:val="000000" w:themeColor="text1"/>
          <w:sz w:val="24"/>
          <w:szCs w:val="24"/>
        </w:rPr>
        <w:t xml:space="preserve">Key words: </w:t>
      </w:r>
      <w:r>
        <w:rPr>
          <w:rFonts w:asciiTheme="majorBidi" w:hAnsiTheme="majorBidi" w:cstheme="majorBidi"/>
          <w:color w:val="000000" w:themeColor="text1"/>
          <w:sz w:val="24"/>
          <w:szCs w:val="24"/>
        </w:rPr>
        <w:t>D</w:t>
      </w:r>
      <w:r w:rsidRPr="001E4ECD">
        <w:rPr>
          <w:rFonts w:asciiTheme="majorBidi" w:hAnsiTheme="majorBidi" w:cstheme="majorBidi"/>
          <w:color w:val="000000" w:themeColor="text1"/>
          <w:sz w:val="24"/>
          <w:szCs w:val="24"/>
        </w:rPr>
        <w:t xml:space="preserve">ietary patterns, </w:t>
      </w:r>
      <w:r>
        <w:rPr>
          <w:rFonts w:asciiTheme="majorBidi" w:hAnsiTheme="majorBidi" w:cstheme="majorBidi"/>
          <w:color w:val="000000" w:themeColor="text1"/>
          <w:sz w:val="24"/>
          <w:szCs w:val="24"/>
        </w:rPr>
        <w:t>H</w:t>
      </w:r>
      <w:r w:rsidRPr="001E4ECD">
        <w:rPr>
          <w:rFonts w:asciiTheme="majorBidi" w:hAnsiTheme="majorBidi" w:cstheme="majorBidi"/>
          <w:color w:val="000000" w:themeColor="text1"/>
          <w:sz w:val="24"/>
          <w:szCs w:val="24"/>
        </w:rPr>
        <w:t xml:space="preserve">emoglobin, Misurata, </w:t>
      </w:r>
      <w:r>
        <w:rPr>
          <w:rFonts w:asciiTheme="majorBidi" w:hAnsiTheme="majorBidi" w:cstheme="majorBidi"/>
          <w:color w:val="000000" w:themeColor="text1"/>
          <w:sz w:val="24"/>
          <w:szCs w:val="24"/>
        </w:rPr>
        <w:t>N</w:t>
      </w:r>
      <w:r w:rsidRPr="001E4ECD">
        <w:rPr>
          <w:rFonts w:asciiTheme="majorBidi" w:hAnsiTheme="majorBidi" w:cstheme="majorBidi"/>
          <w:color w:val="000000" w:themeColor="text1"/>
          <w:sz w:val="24"/>
          <w:szCs w:val="24"/>
        </w:rPr>
        <w:t xml:space="preserve">utrition, </w:t>
      </w:r>
      <w:r>
        <w:rPr>
          <w:rFonts w:asciiTheme="majorBidi" w:hAnsiTheme="majorBidi" w:cstheme="majorBidi"/>
          <w:color w:val="000000" w:themeColor="text1"/>
          <w:sz w:val="24"/>
          <w:szCs w:val="24"/>
        </w:rPr>
        <w:t>S</w:t>
      </w:r>
      <w:r w:rsidRPr="001E4ECD">
        <w:rPr>
          <w:rFonts w:asciiTheme="majorBidi" w:hAnsiTheme="majorBidi" w:cstheme="majorBidi"/>
          <w:color w:val="000000" w:themeColor="text1"/>
          <w:sz w:val="24"/>
          <w:szCs w:val="24"/>
        </w:rPr>
        <w:t xml:space="preserve">tudents. </w:t>
      </w:r>
      <w:bookmarkStart w:id="0" w:name="_GoBack"/>
      <w:bookmarkEnd w:id="0"/>
    </w:p>
    <w:sectPr w:rsidR="001E4ECD" w:rsidRPr="001E4ECD" w:rsidSect="00F34F4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ECD"/>
    <w:rsid w:val="0001560D"/>
    <w:rsid w:val="001E4ECD"/>
    <w:rsid w:val="004C7960"/>
    <w:rsid w:val="008579DF"/>
    <w:rsid w:val="00F34F40"/>
    <w:rsid w:val="00FA6A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64206"/>
  <w15:chartTrackingRefBased/>
  <w15:docId w15:val="{67F69C32-F597-4D16-9142-086CE8F90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ECD"/>
    <w:pPr>
      <w:bidi/>
      <w:spacing w:after="200" w:line="276" w:lineRule="auto"/>
    </w:pPr>
    <w:rPr>
      <w:rFonts w:ascii="Arial" w:eastAsiaTheme="minorHAnsi" w:hAnsi="Arial" w:cs="Simplified Arabic"/>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E4E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ymanssw@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2019-11-04T11:34:00Z</dcterms:created>
  <dcterms:modified xsi:type="dcterms:W3CDTF">2020-01-29T21:54:00Z</dcterms:modified>
</cp:coreProperties>
</file>