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253" w:rsidRPr="00C76A2F" w:rsidRDefault="00121253" w:rsidP="00121253">
      <w:pPr>
        <w:spacing w:line="276" w:lineRule="auto"/>
        <w:jc w:val="center"/>
        <w:rPr>
          <w:rFonts w:ascii="Century Gothic" w:hAnsi="Century Gothic"/>
          <w:b/>
          <w:sz w:val="24"/>
          <w:szCs w:val="24"/>
        </w:rPr>
      </w:pPr>
      <w:r w:rsidRPr="00C76A2F">
        <w:rPr>
          <w:rFonts w:ascii="Century Gothic" w:hAnsi="Century Gothic"/>
          <w:b/>
          <w:sz w:val="24"/>
          <w:szCs w:val="24"/>
        </w:rPr>
        <w:t xml:space="preserve">Dietary Patterns and Bone Mineral Density among </w:t>
      </w:r>
      <w:r>
        <w:rPr>
          <w:rFonts w:ascii="Century Gothic" w:hAnsi="Century Gothic"/>
          <w:b/>
          <w:sz w:val="24"/>
          <w:szCs w:val="24"/>
        </w:rPr>
        <w:t>long term u</w:t>
      </w:r>
      <w:r w:rsidRPr="00C76A2F">
        <w:rPr>
          <w:rFonts w:ascii="Century Gothic" w:hAnsi="Century Gothic"/>
          <w:b/>
          <w:sz w:val="24"/>
          <w:szCs w:val="24"/>
        </w:rPr>
        <w:t xml:space="preserve">sers of </w:t>
      </w:r>
      <w:r w:rsidRPr="00C76A2F">
        <w:rPr>
          <w:rFonts w:ascii="Century Gothic" w:hAnsi="Century Gothic" w:cs="Arial"/>
          <w:b/>
          <w:color w:val="222222"/>
          <w:sz w:val="24"/>
          <w:szCs w:val="24"/>
          <w:shd w:val="clear" w:color="auto" w:fill="FFFFFF"/>
        </w:rPr>
        <w:t>Depot medroxyprogesterone acetate</w:t>
      </w:r>
      <w:r w:rsidR="00597782">
        <w:rPr>
          <w:rFonts w:ascii="Century Gothic" w:hAnsi="Century Gothic"/>
          <w:b/>
          <w:sz w:val="24"/>
          <w:szCs w:val="24"/>
        </w:rPr>
        <w:t xml:space="preserve"> C</w:t>
      </w:r>
      <w:r w:rsidRPr="00C76A2F">
        <w:rPr>
          <w:rFonts w:ascii="Century Gothic" w:hAnsi="Century Gothic"/>
          <w:b/>
          <w:sz w:val="24"/>
          <w:szCs w:val="24"/>
        </w:rPr>
        <w:t>ompared to Non Hormonal Contraceptive Users, Kampala- Uganda.</w:t>
      </w:r>
    </w:p>
    <w:p w:rsidR="00121253" w:rsidRPr="00597782" w:rsidRDefault="00121253" w:rsidP="00121253">
      <w:pPr>
        <w:spacing w:line="276" w:lineRule="auto"/>
        <w:rPr>
          <w:rFonts w:ascii="Century Gothic" w:hAnsi="Century Gothic"/>
        </w:rPr>
      </w:pPr>
      <w:r w:rsidRPr="00597782">
        <w:rPr>
          <w:rFonts w:ascii="Century Gothic" w:hAnsi="Century Gothic"/>
        </w:rPr>
        <w:t>Nicholas Matovu</w:t>
      </w:r>
      <w:r w:rsidR="00542300" w:rsidRPr="00542300">
        <w:rPr>
          <w:rFonts w:ascii="Century Gothic" w:hAnsi="Century Gothic"/>
          <w:vertAlign w:val="superscript"/>
        </w:rPr>
        <w:t>1</w:t>
      </w:r>
      <w:r w:rsidRPr="00597782">
        <w:rPr>
          <w:rFonts w:ascii="Century Gothic" w:hAnsi="Century Gothic"/>
        </w:rPr>
        <w:t xml:space="preserve"> and Flavia </w:t>
      </w:r>
      <w:proofErr w:type="spellStart"/>
      <w:r w:rsidRPr="00597782">
        <w:rPr>
          <w:rFonts w:ascii="Century Gothic" w:hAnsi="Century Gothic"/>
        </w:rPr>
        <w:t>Kiweewa</w:t>
      </w:r>
      <w:proofErr w:type="spellEnd"/>
      <w:r w:rsidRPr="00597782">
        <w:rPr>
          <w:rFonts w:ascii="Century Gothic" w:hAnsi="Century Gothic"/>
        </w:rPr>
        <w:t xml:space="preserve"> Matovu</w:t>
      </w:r>
      <w:r w:rsidR="00542300" w:rsidRPr="00542300">
        <w:rPr>
          <w:rFonts w:ascii="Century Gothic" w:hAnsi="Century Gothic"/>
          <w:vertAlign w:val="superscript"/>
        </w:rPr>
        <w:t>2</w:t>
      </w:r>
      <w:r w:rsidRPr="00597782">
        <w:rPr>
          <w:rFonts w:ascii="Century Gothic" w:hAnsi="Century Gothic"/>
        </w:rPr>
        <w:t xml:space="preserve"> </w:t>
      </w:r>
    </w:p>
    <w:p w:rsidR="00542300" w:rsidRDefault="000A3C60" w:rsidP="00542300">
      <w:pPr>
        <w:spacing w:after="0" w:line="276" w:lineRule="auto"/>
        <w:rPr>
          <w:rFonts w:ascii="Century Gothic" w:hAnsi="Century Gothic"/>
          <w:sz w:val="20"/>
          <w:szCs w:val="20"/>
        </w:rPr>
      </w:pPr>
      <w:r w:rsidRPr="000A3C60">
        <w:rPr>
          <w:rFonts w:ascii="Century Gothic" w:hAnsi="Century Gothic"/>
          <w:sz w:val="20"/>
          <w:szCs w:val="20"/>
          <w:vertAlign w:val="superscript"/>
        </w:rPr>
        <w:t>1</w:t>
      </w:r>
      <w:r w:rsidR="00542300">
        <w:rPr>
          <w:rFonts w:ascii="Century Gothic" w:hAnsi="Century Gothic"/>
          <w:sz w:val="20"/>
          <w:szCs w:val="20"/>
        </w:rPr>
        <w:t>Makerere University, School of Public Health, Department of Community Health and Behavioural Sciences</w:t>
      </w:r>
    </w:p>
    <w:p w:rsidR="0010668A" w:rsidRDefault="000A3C60" w:rsidP="00121253">
      <w:pPr>
        <w:spacing w:line="276" w:lineRule="auto"/>
        <w:rPr>
          <w:rFonts w:ascii="Century Gothic" w:hAnsi="Century Gothic"/>
          <w:sz w:val="20"/>
          <w:szCs w:val="20"/>
        </w:rPr>
      </w:pPr>
      <w:r w:rsidRPr="000A3C60">
        <w:rPr>
          <w:rFonts w:ascii="Century Gothic" w:hAnsi="Century Gothic"/>
          <w:sz w:val="20"/>
          <w:szCs w:val="20"/>
          <w:vertAlign w:val="superscript"/>
        </w:rPr>
        <w:t>2</w:t>
      </w:r>
      <w:r w:rsidR="00121253">
        <w:rPr>
          <w:rFonts w:ascii="Century Gothic" w:hAnsi="Century Gothic"/>
          <w:sz w:val="20"/>
          <w:szCs w:val="20"/>
        </w:rPr>
        <w:t>M</w:t>
      </w:r>
      <w:r w:rsidR="00597782">
        <w:rPr>
          <w:rFonts w:ascii="Century Gothic" w:hAnsi="Century Gothic"/>
          <w:sz w:val="20"/>
          <w:szCs w:val="20"/>
        </w:rPr>
        <w:t xml:space="preserve">akerere </w:t>
      </w:r>
      <w:r w:rsidR="00121253">
        <w:rPr>
          <w:rFonts w:ascii="Century Gothic" w:hAnsi="Century Gothic"/>
          <w:sz w:val="20"/>
          <w:szCs w:val="20"/>
        </w:rPr>
        <w:t>U</w:t>
      </w:r>
      <w:r w:rsidR="00597782">
        <w:rPr>
          <w:rFonts w:ascii="Century Gothic" w:hAnsi="Century Gothic"/>
          <w:sz w:val="20"/>
          <w:szCs w:val="20"/>
        </w:rPr>
        <w:t>niversity –</w:t>
      </w:r>
      <w:r w:rsidR="00121253">
        <w:rPr>
          <w:rFonts w:ascii="Century Gothic" w:hAnsi="Century Gothic"/>
          <w:sz w:val="20"/>
          <w:szCs w:val="20"/>
        </w:rPr>
        <w:t xml:space="preserve"> J</w:t>
      </w:r>
      <w:r w:rsidR="00597782">
        <w:rPr>
          <w:rFonts w:ascii="Century Gothic" w:hAnsi="Century Gothic"/>
          <w:sz w:val="20"/>
          <w:szCs w:val="20"/>
        </w:rPr>
        <w:t xml:space="preserve">ohn </w:t>
      </w:r>
      <w:r w:rsidR="00121253">
        <w:rPr>
          <w:rFonts w:ascii="Century Gothic" w:hAnsi="Century Gothic"/>
          <w:sz w:val="20"/>
          <w:szCs w:val="20"/>
        </w:rPr>
        <w:t>H</w:t>
      </w:r>
      <w:r w:rsidR="00597782">
        <w:rPr>
          <w:rFonts w:ascii="Century Gothic" w:hAnsi="Century Gothic"/>
          <w:sz w:val="20"/>
          <w:szCs w:val="20"/>
        </w:rPr>
        <w:t xml:space="preserve">opkins </w:t>
      </w:r>
      <w:r w:rsidR="00121253">
        <w:rPr>
          <w:rFonts w:ascii="Century Gothic" w:hAnsi="Century Gothic"/>
          <w:sz w:val="20"/>
          <w:szCs w:val="20"/>
        </w:rPr>
        <w:t>U</w:t>
      </w:r>
      <w:r w:rsidR="00597782">
        <w:rPr>
          <w:rFonts w:ascii="Century Gothic" w:hAnsi="Century Gothic"/>
          <w:sz w:val="20"/>
          <w:szCs w:val="20"/>
        </w:rPr>
        <w:t>niversity</w:t>
      </w:r>
      <w:r w:rsidR="00121253">
        <w:rPr>
          <w:rFonts w:ascii="Century Gothic" w:hAnsi="Century Gothic"/>
          <w:sz w:val="20"/>
          <w:szCs w:val="20"/>
        </w:rPr>
        <w:t xml:space="preserve"> Research Collaboration</w:t>
      </w:r>
    </w:p>
    <w:p w:rsidR="00121253" w:rsidRPr="00EE1590" w:rsidRDefault="00121253" w:rsidP="00121253">
      <w:pPr>
        <w:spacing w:line="276" w:lineRule="auto"/>
        <w:rPr>
          <w:rFonts w:ascii="Century Gothic" w:hAnsi="Century Gothic"/>
          <w:b/>
        </w:rPr>
      </w:pPr>
      <w:r w:rsidRPr="00EE1590">
        <w:rPr>
          <w:rFonts w:ascii="Century Gothic" w:hAnsi="Century Gothic"/>
          <w:b/>
        </w:rPr>
        <w:t>Abstract:</w:t>
      </w:r>
    </w:p>
    <w:p w:rsidR="00121253" w:rsidRPr="00D14E05" w:rsidRDefault="00121253" w:rsidP="00121253">
      <w:pPr>
        <w:spacing w:after="0" w:line="276" w:lineRule="auto"/>
        <w:jc w:val="both"/>
        <w:rPr>
          <w:rFonts w:ascii="Century Gothic" w:hAnsi="Century Gothic"/>
          <w:b/>
        </w:rPr>
      </w:pPr>
      <w:r w:rsidRPr="009F0E73">
        <w:rPr>
          <w:rFonts w:ascii="Century Gothic" w:hAnsi="Century Gothic"/>
          <w:b/>
        </w:rPr>
        <w:t>Introduction:</w:t>
      </w:r>
      <w:r>
        <w:rPr>
          <w:rFonts w:ascii="Century Gothic" w:hAnsi="Century Gothic"/>
          <w:b/>
        </w:rPr>
        <w:t xml:space="preserve"> </w:t>
      </w:r>
      <w:r w:rsidRPr="000742F0">
        <w:rPr>
          <w:rFonts w:ascii="Century Gothic" w:hAnsi="Century Gothic" w:cs="Arial"/>
          <w:color w:val="222222"/>
          <w:shd w:val="clear" w:color="auto" w:fill="FFFFFF"/>
        </w:rPr>
        <w:t>Depot medroxyprogesterone acetate</w:t>
      </w:r>
      <w:r w:rsidRPr="000742F0">
        <w:rPr>
          <w:rFonts w:ascii="Century Gothic" w:hAnsi="Century Gothic"/>
        </w:rPr>
        <w:t xml:space="preserve"> (DMPA) use is greatly associated with decline in bone mineral density (BMD). </w:t>
      </w:r>
      <w:r>
        <w:rPr>
          <w:rFonts w:ascii="Century Gothic" w:hAnsi="Century Gothic"/>
        </w:rPr>
        <w:t>Although the</w:t>
      </w:r>
      <w:r w:rsidRPr="000742F0">
        <w:rPr>
          <w:rFonts w:ascii="Century Gothic" w:hAnsi="Century Gothic"/>
        </w:rPr>
        <w:t xml:space="preserve"> role of individual nutrients on bone health </w:t>
      </w:r>
      <w:r w:rsidRPr="000742F0">
        <w:rPr>
          <w:rFonts w:ascii="Century Gothic" w:hAnsi="Century Gothic" w:cs="Times New Roman"/>
          <w:lang w:val="en-US"/>
        </w:rPr>
        <w:t>has been well elucidated</w:t>
      </w:r>
      <w:r>
        <w:rPr>
          <w:rFonts w:ascii="Century Gothic" w:hAnsi="Century Gothic"/>
        </w:rPr>
        <w:t xml:space="preserve">, </w:t>
      </w:r>
      <w:r w:rsidRPr="000742F0">
        <w:rPr>
          <w:rFonts w:ascii="Century Gothic" w:hAnsi="Century Gothic"/>
        </w:rPr>
        <w:t>no study among African women has analysed the dietary patterns associated with BMD among DMPA users who</w:t>
      </w:r>
      <w:r>
        <w:rPr>
          <w:rFonts w:ascii="Century Gothic" w:hAnsi="Century Gothic"/>
        </w:rPr>
        <w:t xml:space="preserve"> are at a higher risk of bone loss. The aim of this study was to determine whether certain dietary patterns are associated with low BMD of the lumbar spine (LS) among DMPA users and non-hormonal contraceptive users in a group of African women.</w:t>
      </w:r>
    </w:p>
    <w:p w:rsidR="00121253" w:rsidRDefault="00121253" w:rsidP="00121253">
      <w:pPr>
        <w:spacing w:after="0" w:line="276" w:lineRule="auto"/>
        <w:jc w:val="both"/>
        <w:rPr>
          <w:rFonts w:ascii="Century Gothic" w:hAnsi="Century Gothic"/>
        </w:rPr>
      </w:pPr>
      <w:r>
        <w:rPr>
          <w:rFonts w:ascii="Century Gothic" w:hAnsi="Century Gothic"/>
          <w:b/>
        </w:rPr>
        <w:t xml:space="preserve">Methods: </w:t>
      </w:r>
      <w:r>
        <w:rPr>
          <w:rFonts w:ascii="Century Gothic" w:hAnsi="Century Gothic"/>
        </w:rPr>
        <w:t xml:space="preserve">We conducted </w:t>
      </w:r>
      <w:r w:rsidRPr="00640DE6">
        <w:rPr>
          <w:rFonts w:ascii="Century Gothic" w:hAnsi="Century Gothic" w:cs="Times New Roman"/>
          <w:lang w:val="en-US"/>
        </w:rPr>
        <w:t>a</w:t>
      </w:r>
      <w:r>
        <w:rPr>
          <w:rFonts w:ascii="Century Gothic" w:hAnsi="Century Gothic" w:cs="Times New Roman"/>
          <w:lang w:val="en-US"/>
        </w:rPr>
        <w:t xml:space="preserve"> comparative observational </w:t>
      </w:r>
      <w:r>
        <w:rPr>
          <w:rFonts w:ascii="Century Gothic" w:hAnsi="Century Gothic"/>
        </w:rPr>
        <w:t>study among 151 women recruited from three family planning clinics in Kampala of whom 100 were DMPA users and 51 were non hormonal contraceptive users. Socio demographic, clinical and dietary intake data were collected using pretested questionnaires. Dietary patterns were derived using principal component analysis (PCA). The association between dietary patterns and LS BMD was investigated using multivariate logistic regression.</w:t>
      </w:r>
    </w:p>
    <w:p w:rsidR="00121253" w:rsidRDefault="00121253" w:rsidP="00121253">
      <w:pPr>
        <w:spacing w:after="0" w:line="276" w:lineRule="auto"/>
        <w:jc w:val="both"/>
        <w:rPr>
          <w:rFonts w:ascii="Century Gothic" w:hAnsi="Century Gothic" w:cs="Times New Roman"/>
        </w:rPr>
      </w:pPr>
      <w:r w:rsidRPr="009F0E73">
        <w:rPr>
          <w:rFonts w:ascii="Century Gothic" w:hAnsi="Century Gothic"/>
          <w:b/>
        </w:rPr>
        <w:t xml:space="preserve">Results: </w:t>
      </w:r>
      <w:r w:rsidRPr="00DF79AE">
        <w:rPr>
          <w:rFonts w:ascii="Century Gothic" w:hAnsi="Century Gothic"/>
        </w:rPr>
        <w:t>LS</w:t>
      </w:r>
      <w:r>
        <w:rPr>
          <w:rFonts w:ascii="Century Gothic" w:hAnsi="Century Gothic"/>
          <w:b/>
        </w:rPr>
        <w:t xml:space="preserve"> </w:t>
      </w:r>
      <w:r>
        <w:rPr>
          <w:rFonts w:ascii="Century Gothic" w:hAnsi="Century Gothic"/>
        </w:rPr>
        <w:t xml:space="preserve">BMD was classified as low and normal; where low represented osteopenia and osteoporosis. The prevalence of low LS BMD among DMPA users and non-hormonal users was 52.0% and 35.3% respectively. Four dietary patterns were derived: the bread, cereal and milk (BCM) pattern, plant and animal protein pattern, Fruit and vegetable pattern and the traditional Ugandan pattern. After adjustment for potential confounders, low consumption of the BCM pattern was associated with higher odds of low LS BMD among DMPA users </w:t>
      </w:r>
      <w:r w:rsidRPr="00640DE6">
        <w:rPr>
          <w:rFonts w:ascii="Century Gothic" w:hAnsi="Century Gothic" w:cs="Times New Roman"/>
        </w:rPr>
        <w:t>(AOR: 10.6, CI: 2.00, 56.73; p=0.006)</w:t>
      </w:r>
      <w:r>
        <w:rPr>
          <w:rFonts w:ascii="Century Gothic" w:hAnsi="Century Gothic" w:cs="Times New Roman"/>
        </w:rPr>
        <w:t xml:space="preserve"> </w:t>
      </w:r>
      <w:r>
        <w:rPr>
          <w:rFonts w:ascii="Century Gothic" w:hAnsi="Century Gothic"/>
        </w:rPr>
        <w:t>and not in non-hormonal contraceptive users</w:t>
      </w:r>
      <w:r>
        <w:rPr>
          <w:rFonts w:ascii="Century Gothic" w:hAnsi="Century Gothic" w:cs="Times New Roman"/>
        </w:rPr>
        <w:t>. We found no significant association between the other dietary patterns and low LS BMD.</w:t>
      </w:r>
    </w:p>
    <w:p w:rsidR="00121253" w:rsidRPr="00BF2206" w:rsidRDefault="00121253" w:rsidP="00121253">
      <w:pPr>
        <w:spacing w:line="276" w:lineRule="auto"/>
        <w:jc w:val="both"/>
        <w:rPr>
          <w:rFonts w:ascii="Century Gothic" w:hAnsi="Century Gothic" w:cs="Times New Roman"/>
        </w:rPr>
      </w:pPr>
      <w:r w:rsidRPr="00BF2206">
        <w:rPr>
          <w:rFonts w:ascii="Century Gothic" w:hAnsi="Century Gothic" w:cs="Times New Roman"/>
          <w:b/>
        </w:rPr>
        <w:t>Conclusion:</w:t>
      </w:r>
      <w:r>
        <w:rPr>
          <w:rFonts w:ascii="Century Gothic" w:hAnsi="Century Gothic" w:cs="Times New Roman"/>
        </w:rPr>
        <w:t xml:space="preserve"> Low LS BMD is highly prevalent in DMPA users. However, </w:t>
      </w:r>
      <w:r w:rsidR="004E05DC">
        <w:rPr>
          <w:rFonts w:ascii="Century Gothic" w:hAnsi="Century Gothic" w:cs="Times New Roman"/>
          <w:lang w:val="en-US"/>
        </w:rPr>
        <w:t>increased</w:t>
      </w:r>
      <w:r w:rsidRPr="00640DE6">
        <w:rPr>
          <w:rFonts w:ascii="Century Gothic" w:hAnsi="Century Gothic" w:cs="Times New Roman"/>
          <w:lang w:val="en-US"/>
        </w:rPr>
        <w:t xml:space="preserve"> consumption of bread, cereals and milk could ameliorate the effects of bone loss</w:t>
      </w:r>
      <w:r>
        <w:rPr>
          <w:rFonts w:ascii="Century Gothic" w:hAnsi="Century Gothic" w:cs="Times New Roman"/>
          <w:lang w:val="en-US"/>
        </w:rPr>
        <w:t xml:space="preserve"> in the lumbar spine</w:t>
      </w:r>
      <w:r w:rsidRPr="00640DE6">
        <w:rPr>
          <w:rFonts w:ascii="Century Gothic" w:hAnsi="Century Gothic" w:cs="Times New Roman"/>
          <w:lang w:val="en-US"/>
        </w:rPr>
        <w:t xml:space="preserve"> </w:t>
      </w:r>
      <w:r w:rsidR="004E05DC">
        <w:rPr>
          <w:rFonts w:ascii="Century Gothic" w:hAnsi="Century Gothic" w:cs="Times New Roman"/>
          <w:lang w:val="en-US"/>
        </w:rPr>
        <w:t xml:space="preserve">among women who use </w:t>
      </w:r>
      <w:r w:rsidRPr="00640DE6">
        <w:rPr>
          <w:rFonts w:ascii="Century Gothic" w:hAnsi="Century Gothic" w:cs="Times New Roman"/>
          <w:lang w:val="en-US"/>
        </w:rPr>
        <w:t>DMPA.</w:t>
      </w:r>
      <w:bookmarkStart w:id="0" w:name="_GoBack"/>
      <w:bookmarkEnd w:id="0"/>
    </w:p>
    <w:p w:rsidR="00BB1476" w:rsidRPr="003F1F19" w:rsidRDefault="00C510C2" w:rsidP="003F1F19">
      <w:pPr>
        <w:spacing w:after="0"/>
        <w:jc w:val="both"/>
        <w:rPr>
          <w:rFonts w:ascii="Century Gothic" w:hAnsi="Century Gothic"/>
          <w:b/>
        </w:rPr>
      </w:pPr>
      <w:r w:rsidRPr="003F1F19">
        <w:rPr>
          <w:rFonts w:ascii="Century Gothic" w:hAnsi="Century Gothic"/>
          <w:b/>
        </w:rPr>
        <w:t>Bibliography:</w:t>
      </w:r>
    </w:p>
    <w:p w:rsidR="00BF2258" w:rsidRDefault="00C510C2" w:rsidP="003F1F19">
      <w:pPr>
        <w:jc w:val="both"/>
        <w:rPr>
          <w:rFonts w:ascii="Century Gothic" w:hAnsi="Century Gothic"/>
          <w:sz w:val="20"/>
        </w:rPr>
      </w:pPr>
      <w:r w:rsidRPr="003F1F19">
        <w:rPr>
          <w:rFonts w:ascii="Century Gothic" w:hAnsi="Century Gothic"/>
          <w:sz w:val="20"/>
        </w:rPr>
        <w:t>Nicholas Matovu holds a Bachelor of science degree in Human Nutrition and Dietetics. He has recently received his Master of Public Health Nutrition from Makerere University, Uganda. He is doing his postgraduate training at Makerere University – John Hopkins University Research Collaboration</w:t>
      </w:r>
      <w:r w:rsidR="005D7ADE">
        <w:rPr>
          <w:rFonts w:ascii="Century Gothic" w:hAnsi="Century Gothic"/>
          <w:sz w:val="20"/>
        </w:rPr>
        <w:t>.</w:t>
      </w:r>
      <w:r w:rsidR="00586025">
        <w:rPr>
          <w:rFonts w:ascii="Century Gothic" w:hAnsi="Century Gothic"/>
          <w:sz w:val="20"/>
        </w:rPr>
        <w:tab/>
      </w:r>
      <w:r w:rsidR="00586025">
        <w:rPr>
          <w:rFonts w:ascii="Century Gothic" w:hAnsi="Century Gothic"/>
          <w:sz w:val="20"/>
        </w:rPr>
        <w:tab/>
      </w:r>
      <w:r w:rsidR="00586025">
        <w:rPr>
          <w:rFonts w:ascii="Century Gothic" w:hAnsi="Century Gothic"/>
          <w:sz w:val="20"/>
        </w:rPr>
        <w:tab/>
      </w:r>
      <w:r w:rsidR="00586025">
        <w:rPr>
          <w:rFonts w:ascii="Century Gothic" w:hAnsi="Century Gothic"/>
          <w:sz w:val="20"/>
        </w:rPr>
        <w:tab/>
      </w:r>
      <w:r w:rsidR="00586025">
        <w:rPr>
          <w:rFonts w:ascii="Century Gothic" w:hAnsi="Century Gothic"/>
          <w:sz w:val="20"/>
        </w:rPr>
        <w:tab/>
      </w:r>
      <w:r w:rsidR="00586025">
        <w:rPr>
          <w:rFonts w:ascii="Century Gothic" w:hAnsi="Century Gothic"/>
          <w:sz w:val="20"/>
        </w:rPr>
        <w:tab/>
      </w:r>
      <w:r w:rsidR="00586025">
        <w:rPr>
          <w:rFonts w:ascii="Century Gothic" w:hAnsi="Century Gothic"/>
          <w:sz w:val="20"/>
        </w:rPr>
        <w:tab/>
      </w:r>
      <w:r w:rsidR="00BF2258">
        <w:rPr>
          <w:rFonts w:ascii="Century Gothic" w:hAnsi="Century Gothic"/>
          <w:sz w:val="20"/>
        </w:rPr>
        <w:tab/>
      </w:r>
      <w:r w:rsidR="00BF2258">
        <w:rPr>
          <w:rFonts w:ascii="Century Gothic" w:hAnsi="Century Gothic"/>
          <w:sz w:val="20"/>
        </w:rPr>
        <w:tab/>
      </w:r>
    </w:p>
    <w:p w:rsidR="003F1F19" w:rsidRDefault="003F1F19" w:rsidP="00BF2258">
      <w:pPr>
        <w:ind w:left="7200"/>
        <w:jc w:val="both"/>
        <w:rPr>
          <w:rFonts w:ascii="Century Gothic" w:hAnsi="Century Gothic"/>
          <w:sz w:val="20"/>
        </w:rPr>
      </w:pPr>
      <w:hyperlink r:id="rId4" w:history="1">
        <w:r w:rsidRPr="003C6561">
          <w:rPr>
            <w:rStyle w:val="Hyperlink"/>
            <w:rFonts w:ascii="Century Gothic" w:hAnsi="Century Gothic"/>
            <w:sz w:val="20"/>
          </w:rPr>
          <w:t>matnichi@gmail.com</w:t>
        </w:r>
      </w:hyperlink>
    </w:p>
    <w:sectPr w:rsidR="003F1F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253"/>
    <w:rsid w:val="000A3C60"/>
    <w:rsid w:val="0010668A"/>
    <w:rsid w:val="00121253"/>
    <w:rsid w:val="001E2F3C"/>
    <w:rsid w:val="003F1F19"/>
    <w:rsid w:val="004E05DC"/>
    <w:rsid w:val="00542300"/>
    <w:rsid w:val="00586025"/>
    <w:rsid w:val="00597782"/>
    <w:rsid w:val="005D7ADE"/>
    <w:rsid w:val="00A674AF"/>
    <w:rsid w:val="00BB1476"/>
    <w:rsid w:val="00BF2258"/>
    <w:rsid w:val="00C510C2"/>
    <w:rsid w:val="00C611C6"/>
    <w:rsid w:val="00F04F6D"/>
    <w:rsid w:val="00F94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07CFC"/>
  <w15:chartTrackingRefBased/>
  <w15:docId w15:val="{41B1D001-EDBF-4901-9CAD-11D2B4BDE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21253"/>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1F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tnich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403</Words>
  <Characters>2300</Characters>
  <Application>Microsoft Office Word</Application>
  <DocSecurity>0</DocSecurity>
  <Lines>19</Lines>
  <Paragraphs>5</Paragraphs>
  <ScaleCrop>false</ScaleCrop>
  <Company/>
  <LinksUpToDate>false</LinksUpToDate>
  <CharactersWithSpaces>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MATNICHI</dc:creator>
  <cp:keywords/>
  <dc:description/>
  <cp:lastModifiedBy>MATNICHI</cp:lastModifiedBy>
  <cp:revision>22</cp:revision>
  <dcterms:created xsi:type="dcterms:W3CDTF">2016-12-24T09:29:00Z</dcterms:created>
  <dcterms:modified xsi:type="dcterms:W3CDTF">2016-12-24T11:24:00Z</dcterms:modified>
</cp:coreProperties>
</file>