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59B" w:rsidRDefault="00E9159B" w:rsidP="00E9159B">
      <w:pPr>
        <w:suppressLineNumbers/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95150">
        <w:rPr>
          <w:rFonts w:asciiTheme="majorBidi" w:hAnsiTheme="majorBidi" w:cstheme="majorBidi"/>
          <w:b/>
          <w:bCs/>
          <w:sz w:val="28"/>
          <w:szCs w:val="28"/>
        </w:rPr>
        <w:t>Dietary Total Antioxidant Capacity and Severity of Stenosis in Patients with Coronary Artery Disease</w:t>
      </w:r>
    </w:p>
    <w:p w:rsidR="00E9159B" w:rsidRPr="00D950CD" w:rsidRDefault="00E9159B" w:rsidP="00E9159B">
      <w:pPr>
        <w:suppressLineNumbers/>
        <w:autoSpaceDE w:val="0"/>
        <w:autoSpaceDN w:val="0"/>
        <w:adjustRightInd w:val="0"/>
        <w:spacing w:after="200" w:line="360" w:lineRule="auto"/>
        <w:ind w:left="360"/>
        <w:contextualSpacing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fa-IR"/>
        </w:rPr>
      </w:pPr>
      <w:proofErr w:type="spellStart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Zamzam</w:t>
      </w:r>
      <w:proofErr w:type="spellEnd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 Paknahad.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bidi="fa-IR"/>
        </w:rPr>
        <w:t>1,2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, </w:t>
      </w:r>
      <w:proofErr w:type="spellStart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Seyedeh</w:t>
      </w:r>
      <w:proofErr w:type="spellEnd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 </w:t>
      </w:r>
      <w:proofErr w:type="spellStart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Parisa</w:t>
      </w:r>
      <w:proofErr w:type="spellEnd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 Moosavian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bidi="fa-IR"/>
        </w:rPr>
        <w:t>,2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, Zahra </w:t>
      </w:r>
      <w:proofErr w:type="spellStart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Teimouri</w:t>
      </w:r>
      <w:proofErr w:type="spellEnd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 </w:t>
      </w:r>
      <w:proofErr w:type="spellStart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Jervekani</w:t>
      </w:r>
      <w:proofErr w:type="spellEnd"/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 xml:space="preserve"> 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bidi="fa-IR"/>
        </w:rPr>
        <w:t>3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, Akbar Hasanzadeh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bidi="fa-IR"/>
        </w:rPr>
        <w:t xml:space="preserve">4 </w:t>
      </w:r>
      <w:r w:rsidRPr="00D950C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  <w:t>,</w:t>
      </w:r>
      <w:r w:rsidRPr="00D950CD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 Mohammad </w:t>
      </w:r>
      <w:proofErr w:type="spellStart"/>
      <w:r w:rsidRPr="00D950CD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>Hashemi</w:t>
      </w:r>
      <w:proofErr w:type="spellEnd"/>
      <w:r w:rsidRPr="00D950CD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 </w:t>
      </w:r>
      <w:r w:rsidRPr="00D950CD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fa-IR"/>
        </w:rPr>
        <w:t>3</w:t>
      </w:r>
    </w:p>
    <w:p w:rsidR="00E9159B" w:rsidRPr="00D950CD" w:rsidRDefault="00E9159B" w:rsidP="00E9159B">
      <w:pPr>
        <w:suppressLineNumbers/>
        <w:autoSpaceDE w:val="0"/>
        <w:autoSpaceDN w:val="0"/>
        <w:adjustRightInd w:val="0"/>
        <w:spacing w:after="200" w:line="360" w:lineRule="auto"/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</w:pPr>
    </w:p>
    <w:p w:rsidR="00E9159B" w:rsidRPr="00D950CD" w:rsidRDefault="00E9159B" w:rsidP="00E9159B">
      <w:pPr>
        <w:suppressLineNumbers/>
        <w:autoSpaceDE w:val="0"/>
        <w:autoSpaceDN w:val="0"/>
        <w:adjustRightInd w:val="0"/>
        <w:spacing w:after="200" w:line="360" w:lineRule="auto"/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</w:pPr>
    </w:p>
    <w:p w:rsidR="00E9159B" w:rsidRPr="00D950CD" w:rsidRDefault="00E9159B" w:rsidP="00E9159B">
      <w:pPr>
        <w:numPr>
          <w:ilvl w:val="0"/>
          <w:numId w:val="2"/>
        </w:numPr>
        <w:suppressLineNumbers/>
        <w:autoSpaceDE w:val="0"/>
        <w:autoSpaceDN w:val="0"/>
        <w:adjustRightInd w:val="0"/>
        <w:spacing w:after="0" w:line="360" w:lineRule="auto"/>
        <w:contextualSpacing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fa-IR"/>
        </w:rPr>
      </w:pPr>
      <w:r w:rsidRPr="00D950C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fa-IR"/>
        </w:rPr>
        <w:t>Food Security Research Center, Isfahan University of Medical Sciences</w:t>
      </w:r>
    </w:p>
    <w:p w:rsidR="00E9159B" w:rsidRPr="00D950CD" w:rsidRDefault="00E9159B" w:rsidP="00E9159B">
      <w:pPr>
        <w:numPr>
          <w:ilvl w:val="0"/>
          <w:numId w:val="2"/>
        </w:numPr>
        <w:suppressLineNumbers/>
        <w:autoSpaceDE w:val="0"/>
        <w:autoSpaceDN w:val="0"/>
        <w:adjustRightInd w:val="0"/>
        <w:spacing w:after="0" w:line="360" w:lineRule="auto"/>
        <w:contextualSpacing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D950C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fa-IR"/>
        </w:rPr>
        <w:t>Department of Clinical Nutrition, School of Nutrition and Food Sciences, Isfahan University of Medical Sciences, Isfahan, Iran.</w:t>
      </w:r>
      <w:r w:rsidRPr="00D950C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E9159B" w:rsidRPr="00D950CD" w:rsidRDefault="00E9159B" w:rsidP="00E9159B">
      <w:pPr>
        <w:numPr>
          <w:ilvl w:val="0"/>
          <w:numId w:val="2"/>
        </w:numPr>
        <w:suppressLineNumbers/>
        <w:autoSpaceDE w:val="0"/>
        <w:autoSpaceDN w:val="0"/>
        <w:adjustRightInd w:val="0"/>
        <w:spacing w:after="0" w:line="360" w:lineRule="auto"/>
        <w:contextualSpacing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fa-IR"/>
        </w:rPr>
      </w:pPr>
      <w:r w:rsidRPr="00D950C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Cardiology Department, Isfahan University of Medical Sciences, Isfahan, Iran. </w:t>
      </w:r>
    </w:p>
    <w:p w:rsidR="00E9159B" w:rsidRPr="00D950CD" w:rsidRDefault="00E9159B" w:rsidP="00E9159B">
      <w:pPr>
        <w:numPr>
          <w:ilvl w:val="0"/>
          <w:numId w:val="2"/>
        </w:numPr>
        <w:suppressLineNumbers/>
        <w:autoSpaceDE w:val="0"/>
        <w:autoSpaceDN w:val="0"/>
        <w:adjustRightInd w:val="0"/>
        <w:spacing w:after="0" w:line="360" w:lineRule="auto"/>
        <w:contextualSpacing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bidi="fa-IR"/>
        </w:rPr>
      </w:pPr>
      <w:r w:rsidRPr="00D950CD">
        <w:rPr>
          <w:rFonts w:ascii="Times New Roman" w:eastAsia="Calibri" w:hAnsi="Times New Roman" w:cs="Times New Roman"/>
          <w:i/>
          <w:iCs/>
          <w:sz w:val="24"/>
          <w:szCs w:val="24"/>
          <w:lang w:bidi="fa-IR"/>
        </w:rPr>
        <w:t xml:space="preserve">Department of Biostatistics, School of Health, Isfahan University of Medical Sciences, Isfahan, Iran </w:t>
      </w:r>
    </w:p>
    <w:p w:rsidR="00E9159B" w:rsidRPr="00D950CD" w:rsidRDefault="00E9159B" w:rsidP="00E9159B">
      <w:pPr>
        <w:suppressLineNumbers/>
        <w:spacing w:line="48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E9159B" w:rsidRDefault="00E9159B" w:rsidP="00E9159B">
      <w:pPr>
        <w:suppressLineNumbers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9159B" w:rsidRPr="0068093C" w:rsidRDefault="00E9159B" w:rsidP="00E9159B">
      <w:pPr>
        <w:spacing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68093C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E9159B" w:rsidRPr="0068093C" w:rsidRDefault="00E9159B" w:rsidP="00E9159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093C">
        <w:rPr>
          <w:rFonts w:asciiTheme="majorBidi" w:hAnsiTheme="majorBidi" w:cstheme="majorBidi"/>
          <w:b/>
          <w:bCs/>
          <w:sz w:val="24"/>
          <w:szCs w:val="24"/>
        </w:rPr>
        <w:t xml:space="preserve">Aim: </w:t>
      </w:r>
      <w:r w:rsidRPr="0068093C">
        <w:rPr>
          <w:rFonts w:asciiTheme="majorBidi" w:hAnsiTheme="majorBidi" w:cstheme="majorBidi"/>
          <w:sz w:val="24"/>
          <w:szCs w:val="24"/>
        </w:rPr>
        <w:t xml:space="preserve">Coronary artery disease (CAD) is a major cause of mortality worldwide. </w:t>
      </w:r>
      <w:r>
        <w:rPr>
          <w:rFonts w:asciiTheme="majorBidi" w:hAnsiTheme="majorBidi" w:cstheme="majorBidi"/>
          <w:sz w:val="24"/>
          <w:szCs w:val="24"/>
        </w:rPr>
        <w:t>Many</w:t>
      </w:r>
      <w:r w:rsidRPr="0068093C">
        <w:rPr>
          <w:rFonts w:asciiTheme="majorBidi" w:hAnsiTheme="majorBidi" w:cstheme="majorBidi"/>
          <w:sz w:val="24"/>
          <w:szCs w:val="24"/>
        </w:rPr>
        <w:t xml:space="preserve"> studies </w:t>
      </w:r>
      <w:r>
        <w:rPr>
          <w:rFonts w:asciiTheme="majorBidi" w:hAnsiTheme="majorBidi" w:cstheme="majorBidi"/>
          <w:sz w:val="24"/>
          <w:szCs w:val="24"/>
        </w:rPr>
        <w:t xml:space="preserve">suggest </w:t>
      </w:r>
      <w:r w:rsidRPr="0068093C">
        <w:rPr>
          <w:rFonts w:asciiTheme="majorBidi" w:hAnsiTheme="majorBidi" w:cstheme="majorBidi"/>
          <w:sz w:val="24"/>
          <w:szCs w:val="24"/>
        </w:rPr>
        <w:t xml:space="preserve">that </w:t>
      </w:r>
      <w:r>
        <w:rPr>
          <w:rFonts w:asciiTheme="majorBidi" w:hAnsiTheme="majorBidi" w:cstheme="majorBidi"/>
          <w:sz w:val="24"/>
          <w:szCs w:val="24"/>
        </w:rPr>
        <w:t xml:space="preserve">dietary </w:t>
      </w:r>
      <w:r w:rsidRPr="0068093C">
        <w:rPr>
          <w:rFonts w:asciiTheme="majorBidi" w:hAnsiTheme="majorBidi" w:cstheme="majorBidi"/>
          <w:sz w:val="24"/>
          <w:szCs w:val="24"/>
        </w:rPr>
        <w:t>antioxidant can offer significant protection against stroke, heart failure, and coronary heart disease.</w:t>
      </w:r>
      <w:r w:rsidRPr="0068093C">
        <w:t xml:space="preserve"> </w:t>
      </w:r>
      <w:r w:rsidRPr="0068093C">
        <w:rPr>
          <w:rFonts w:asciiTheme="majorBidi" w:hAnsiTheme="majorBidi" w:cstheme="majorBidi"/>
          <w:noProof/>
          <w:sz w:val="24"/>
          <w:szCs w:val="24"/>
        </w:rPr>
        <w:t>However,</w:t>
      </w:r>
      <w:r w:rsidRPr="0068093C">
        <w:rPr>
          <w:rFonts w:asciiTheme="majorBidi" w:hAnsiTheme="majorBidi" w:cstheme="majorBidi"/>
          <w:sz w:val="24"/>
          <w:szCs w:val="24"/>
        </w:rPr>
        <w:t xml:space="preserve"> there is no study that assessed the association between dietary TAC and severity of stenosis in patients with CVD.</w:t>
      </w:r>
      <w:r w:rsidRPr="0068093C">
        <w:t xml:space="preserve"> </w:t>
      </w:r>
      <w:r w:rsidRPr="0068093C">
        <w:rPr>
          <w:rFonts w:asciiTheme="majorBidi" w:hAnsiTheme="majorBidi" w:cstheme="majorBidi"/>
          <w:sz w:val="24"/>
          <w:szCs w:val="24"/>
        </w:rPr>
        <w:t>The</w:t>
      </w:r>
      <w:r w:rsidRPr="0068093C">
        <w:rPr>
          <w:rFonts w:asciiTheme="majorBidi" w:hAnsiTheme="majorBidi" w:cstheme="majorBidi"/>
          <w:sz w:val="28"/>
          <w:szCs w:val="28"/>
        </w:rPr>
        <w:t xml:space="preserve"> </w:t>
      </w:r>
      <w:r w:rsidRPr="0068093C">
        <w:rPr>
          <w:rFonts w:asciiTheme="majorBidi" w:hAnsiTheme="majorBidi" w:cstheme="majorBidi"/>
          <w:sz w:val="24"/>
          <w:szCs w:val="24"/>
        </w:rPr>
        <w:t>aim of this study was to investigate the association of dietary TAC and severity of stenosis in patients with coronary artery disease.</w:t>
      </w:r>
    </w:p>
    <w:p w:rsidR="00E9159B" w:rsidRPr="0068093C" w:rsidRDefault="00E9159B" w:rsidP="00E9159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093C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>
        <w:rPr>
          <w:rFonts w:asciiTheme="majorBidi" w:hAnsiTheme="majorBidi" w:cstheme="majorBidi"/>
          <w:sz w:val="24"/>
          <w:szCs w:val="24"/>
        </w:rPr>
        <w:t xml:space="preserve">Dietary and medical History of </w:t>
      </w:r>
      <w:r w:rsidRPr="0068093C">
        <w:rPr>
          <w:rFonts w:asciiTheme="majorBidi" w:hAnsiTheme="majorBidi" w:cstheme="majorBidi"/>
          <w:sz w:val="24"/>
          <w:szCs w:val="24"/>
        </w:rPr>
        <w:t xml:space="preserve">160 patients with CAD </w:t>
      </w:r>
      <w:r>
        <w:rPr>
          <w:rFonts w:asciiTheme="majorBidi" w:hAnsiTheme="majorBidi" w:cstheme="majorBidi"/>
          <w:sz w:val="24"/>
          <w:szCs w:val="24"/>
        </w:rPr>
        <w:t xml:space="preserve">were assessed. </w:t>
      </w:r>
      <w:r w:rsidRPr="0068093C">
        <w:rPr>
          <w:rFonts w:asciiTheme="majorBidi" w:hAnsiTheme="majorBidi" w:cstheme="majorBidi"/>
          <w:sz w:val="24"/>
          <w:szCs w:val="24"/>
        </w:rPr>
        <w:t xml:space="preserve">The extent of </w:t>
      </w:r>
      <w:r>
        <w:rPr>
          <w:rFonts w:asciiTheme="majorBidi" w:hAnsiTheme="majorBidi" w:cstheme="majorBidi"/>
          <w:sz w:val="24"/>
          <w:szCs w:val="24"/>
        </w:rPr>
        <w:t xml:space="preserve">Stenosis </w:t>
      </w:r>
      <w:r w:rsidRPr="0068093C">
        <w:rPr>
          <w:rFonts w:asciiTheme="majorBidi" w:hAnsiTheme="majorBidi" w:cstheme="majorBidi"/>
          <w:sz w:val="24"/>
          <w:szCs w:val="24"/>
        </w:rPr>
        <w:t xml:space="preserve">was </w:t>
      </w:r>
      <w:r>
        <w:rPr>
          <w:rFonts w:asciiTheme="majorBidi" w:hAnsiTheme="majorBidi" w:cstheme="majorBidi"/>
          <w:sz w:val="24"/>
          <w:szCs w:val="24"/>
        </w:rPr>
        <w:t>determined</w:t>
      </w:r>
      <w:r w:rsidRPr="0068093C">
        <w:rPr>
          <w:rFonts w:asciiTheme="majorBidi" w:hAnsiTheme="majorBidi" w:cstheme="majorBidi"/>
          <w:sz w:val="24"/>
          <w:szCs w:val="24"/>
        </w:rPr>
        <w:t xml:space="preserve"> using the </w:t>
      </w:r>
      <w:r w:rsidRPr="0068093C">
        <w:rPr>
          <w:rFonts w:asciiTheme="majorBidi" w:hAnsiTheme="majorBidi" w:cstheme="majorBidi"/>
          <w:noProof/>
          <w:sz w:val="24"/>
          <w:szCs w:val="24"/>
        </w:rPr>
        <w:t>Gensini</w:t>
      </w:r>
      <w:r w:rsidRPr="0068093C">
        <w:rPr>
          <w:rFonts w:asciiTheme="majorBidi" w:hAnsiTheme="majorBidi" w:cstheme="majorBidi"/>
          <w:sz w:val="24"/>
          <w:szCs w:val="24"/>
        </w:rPr>
        <w:t xml:space="preserve"> score. Dietary </w:t>
      </w:r>
      <w:r>
        <w:rPr>
          <w:rFonts w:asciiTheme="majorBidi" w:hAnsiTheme="majorBidi" w:cstheme="majorBidi"/>
          <w:sz w:val="24"/>
          <w:szCs w:val="24"/>
        </w:rPr>
        <w:t xml:space="preserve">history </w:t>
      </w:r>
      <w:r w:rsidRPr="0068093C">
        <w:rPr>
          <w:rFonts w:asciiTheme="majorBidi" w:hAnsiTheme="majorBidi" w:cstheme="majorBidi"/>
          <w:sz w:val="24"/>
          <w:szCs w:val="24"/>
        </w:rPr>
        <w:t xml:space="preserve">was investigated </w:t>
      </w:r>
      <w:r>
        <w:rPr>
          <w:rFonts w:asciiTheme="majorBidi" w:hAnsiTheme="majorBidi" w:cstheme="majorBidi"/>
          <w:sz w:val="24"/>
          <w:szCs w:val="24"/>
        </w:rPr>
        <w:t>by</w:t>
      </w:r>
      <w:r w:rsidRPr="0068093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</w:t>
      </w:r>
      <w:r w:rsidRPr="0068093C">
        <w:rPr>
          <w:rFonts w:asciiTheme="majorBidi" w:hAnsiTheme="majorBidi" w:cstheme="majorBidi"/>
          <w:sz w:val="24"/>
          <w:szCs w:val="24"/>
        </w:rPr>
        <w:t xml:space="preserve">ood </w:t>
      </w:r>
      <w:r>
        <w:rPr>
          <w:rFonts w:asciiTheme="majorBidi" w:hAnsiTheme="majorBidi" w:cstheme="majorBidi"/>
          <w:sz w:val="24"/>
          <w:szCs w:val="24"/>
        </w:rPr>
        <w:t>f</w:t>
      </w:r>
      <w:r w:rsidRPr="0068093C">
        <w:rPr>
          <w:rFonts w:asciiTheme="majorBidi" w:hAnsiTheme="majorBidi" w:cstheme="majorBidi"/>
          <w:sz w:val="24"/>
          <w:szCs w:val="24"/>
        </w:rPr>
        <w:t xml:space="preserve">requency </w:t>
      </w:r>
      <w:r>
        <w:rPr>
          <w:rFonts w:asciiTheme="majorBidi" w:hAnsiTheme="majorBidi" w:cstheme="majorBidi"/>
          <w:sz w:val="24"/>
          <w:szCs w:val="24"/>
        </w:rPr>
        <w:t xml:space="preserve">questionnaire (FFQ), and </w:t>
      </w:r>
      <w:r w:rsidRPr="0068093C">
        <w:rPr>
          <w:rFonts w:asciiTheme="majorBidi" w:hAnsiTheme="majorBidi" w:cstheme="majorBidi"/>
          <w:sz w:val="24"/>
          <w:szCs w:val="24"/>
        </w:rPr>
        <w:t>Dietary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8093C">
        <w:rPr>
          <w:rFonts w:asciiTheme="majorBidi" w:hAnsiTheme="majorBidi" w:cstheme="majorBidi"/>
          <w:sz w:val="24"/>
          <w:szCs w:val="24"/>
        </w:rPr>
        <w:t xml:space="preserve">TAC was calculated by multiplying the </w:t>
      </w:r>
      <w:r w:rsidRPr="0068093C">
        <w:rPr>
          <w:rFonts w:asciiTheme="majorBidi" w:hAnsiTheme="majorBidi" w:cstheme="majorBidi"/>
          <w:noProof/>
          <w:sz w:val="24"/>
          <w:szCs w:val="24"/>
        </w:rPr>
        <w:t>average</w:t>
      </w:r>
      <w:r w:rsidRPr="0068093C">
        <w:rPr>
          <w:rFonts w:asciiTheme="majorBidi" w:hAnsiTheme="majorBidi" w:cstheme="majorBidi"/>
          <w:sz w:val="24"/>
          <w:szCs w:val="24"/>
        </w:rPr>
        <w:t xml:space="preserve"> frequency of intake of each food by oxygen radical absorbance capacity (ORAC) content.</w:t>
      </w:r>
    </w:p>
    <w:p w:rsidR="00E9159B" w:rsidRPr="0068093C" w:rsidRDefault="00E9159B" w:rsidP="00E9159B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8093C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Results: </w:t>
      </w:r>
      <w:r w:rsidRPr="0068093C">
        <w:rPr>
          <w:rFonts w:asciiTheme="majorBidi" w:hAnsiTheme="majorBidi" w:cstheme="majorBidi"/>
          <w:sz w:val="24"/>
          <w:szCs w:val="24"/>
        </w:rPr>
        <w:t xml:space="preserve">Across the </w:t>
      </w:r>
      <w:proofErr w:type="spellStart"/>
      <w:r w:rsidRPr="0068093C">
        <w:rPr>
          <w:rFonts w:asciiTheme="majorBidi" w:hAnsiTheme="majorBidi" w:cstheme="majorBidi"/>
          <w:sz w:val="24"/>
          <w:szCs w:val="24"/>
        </w:rPr>
        <w:t>Gensini</w:t>
      </w:r>
      <w:proofErr w:type="spellEnd"/>
      <w:r w:rsidRPr="0068093C">
        <w:rPr>
          <w:rFonts w:asciiTheme="majorBidi" w:hAnsiTheme="majorBidi" w:cstheme="majorBidi"/>
          <w:sz w:val="24"/>
          <w:szCs w:val="24"/>
        </w:rPr>
        <w:t xml:space="preserve"> score quartiles the dietary TAC, dietary hydrophilic TAC, dietary lipophilic TAC, and dietary phenolic TAC values were significantly increased in </w:t>
      </w:r>
      <w:r w:rsidRPr="0068093C">
        <w:rPr>
          <w:rFonts w:asciiTheme="majorBidi" w:hAnsiTheme="majorBidi" w:cstheme="majorBidi"/>
          <w:noProof/>
          <w:sz w:val="24"/>
          <w:szCs w:val="24"/>
        </w:rPr>
        <w:t>the highest</w:t>
      </w:r>
      <w:r w:rsidRPr="0068093C">
        <w:rPr>
          <w:rFonts w:asciiTheme="majorBidi" w:hAnsiTheme="majorBidi" w:cstheme="majorBidi"/>
          <w:sz w:val="24"/>
          <w:szCs w:val="24"/>
        </w:rPr>
        <w:t xml:space="preserve"> quartile compared with the </w:t>
      </w:r>
      <w:r w:rsidRPr="0068093C">
        <w:rPr>
          <w:rFonts w:asciiTheme="majorBidi" w:hAnsiTheme="majorBidi" w:cstheme="majorBidi"/>
          <w:noProof/>
          <w:sz w:val="24"/>
          <w:szCs w:val="24"/>
        </w:rPr>
        <w:t>lowest</w:t>
      </w:r>
      <w:r w:rsidRPr="0068093C">
        <w:rPr>
          <w:rFonts w:asciiTheme="majorBidi" w:hAnsiTheme="majorBidi" w:cstheme="majorBidi"/>
          <w:sz w:val="24"/>
          <w:szCs w:val="24"/>
        </w:rPr>
        <w:t xml:space="preserve"> quartile </w:t>
      </w:r>
      <w:r>
        <w:rPr>
          <w:rFonts w:asciiTheme="majorBidi" w:hAnsiTheme="majorBidi" w:cstheme="majorBidi"/>
          <w:sz w:val="24"/>
          <w:szCs w:val="24"/>
        </w:rPr>
        <w:t xml:space="preserve">(dietary TAC </w:t>
      </w:r>
      <w:r>
        <w:rPr>
          <w:rFonts w:asciiTheme="majorBidi" w:hAnsiTheme="majorBidi" w:cstheme="majorBidi"/>
        </w:rPr>
        <w:t>(</w:t>
      </w:r>
      <w:proofErr w:type="spellStart"/>
      <w:r>
        <w:rPr>
          <w:rFonts w:asciiTheme="majorBidi" w:hAnsiTheme="majorBidi" w:cstheme="majorBidi"/>
        </w:rPr>
        <w:t>m</w:t>
      </w:r>
      <w:r w:rsidRPr="00477B19">
        <w:rPr>
          <w:rFonts w:asciiTheme="majorBidi" w:hAnsiTheme="majorBidi" w:cstheme="majorBidi"/>
        </w:rPr>
        <w:t>molTE</w:t>
      </w:r>
      <w:proofErr w:type="spellEnd"/>
      <w:r w:rsidRPr="00477B19">
        <w:rPr>
          <w:rFonts w:asciiTheme="majorBidi" w:hAnsiTheme="majorBidi" w:cstheme="majorBidi"/>
        </w:rPr>
        <w:t>/100 g</w:t>
      </w:r>
      <w:r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sz w:val="24"/>
          <w:szCs w:val="24"/>
        </w:rPr>
        <w:t>:</w:t>
      </w:r>
      <w:r w:rsidRPr="00477B19">
        <w:rPr>
          <w:rFonts w:asciiTheme="majorBidi" w:hAnsiTheme="majorBidi" w:cstheme="majorBidi"/>
        </w:rPr>
        <w:t>17</w:t>
      </w:r>
      <w:r>
        <w:rPr>
          <w:rFonts w:asciiTheme="majorBidi" w:hAnsiTheme="majorBidi" w:cstheme="majorBidi"/>
        </w:rPr>
        <w:t>.5</w:t>
      </w:r>
      <w:r w:rsidRPr="00477B19">
        <w:rPr>
          <w:rFonts w:asciiTheme="majorBidi" w:hAnsiTheme="majorBidi" w:cstheme="majorBidi"/>
        </w:rPr>
        <w:t>±1</w:t>
      </w:r>
      <w:r>
        <w:rPr>
          <w:rFonts w:asciiTheme="majorBidi" w:hAnsiTheme="majorBidi" w:cstheme="majorBidi"/>
        </w:rPr>
        <w:t>.82 vs. 11.2</w:t>
      </w:r>
      <w:r w:rsidRPr="00477B19">
        <w:rPr>
          <w:rFonts w:asciiTheme="majorBidi" w:hAnsiTheme="majorBidi" w:cstheme="majorBidi"/>
        </w:rPr>
        <w:t>± 1</w:t>
      </w:r>
      <w:r>
        <w:rPr>
          <w:rFonts w:asciiTheme="majorBidi" w:hAnsiTheme="majorBidi" w:cstheme="majorBidi"/>
        </w:rPr>
        <w:t>.</w:t>
      </w:r>
      <w:r w:rsidRPr="00477B19">
        <w:rPr>
          <w:rFonts w:asciiTheme="majorBidi" w:hAnsiTheme="majorBidi" w:cstheme="majorBidi"/>
        </w:rPr>
        <w:t>9</w:t>
      </w:r>
      <w:r>
        <w:rPr>
          <w:rFonts w:asciiTheme="majorBidi" w:hAnsiTheme="majorBidi" w:cstheme="majorBidi"/>
        </w:rPr>
        <w:t xml:space="preserve">0; </w:t>
      </w:r>
      <w:r>
        <w:rPr>
          <w:rFonts w:asciiTheme="majorBidi" w:hAnsiTheme="majorBidi" w:cstheme="majorBidi"/>
          <w:sz w:val="24"/>
          <w:szCs w:val="24"/>
        </w:rPr>
        <w:t xml:space="preserve">dietary hydrophilic TAC </w:t>
      </w:r>
      <w:r>
        <w:rPr>
          <w:rFonts w:asciiTheme="majorBidi" w:hAnsiTheme="majorBidi" w:cstheme="majorBidi"/>
        </w:rPr>
        <w:t>(</w:t>
      </w:r>
      <w:proofErr w:type="spellStart"/>
      <w:r>
        <w:rPr>
          <w:rFonts w:asciiTheme="majorBidi" w:hAnsiTheme="majorBidi" w:cstheme="majorBidi"/>
        </w:rPr>
        <w:t>m</w:t>
      </w:r>
      <w:r w:rsidRPr="00477B19">
        <w:rPr>
          <w:rFonts w:asciiTheme="majorBidi" w:hAnsiTheme="majorBidi" w:cstheme="majorBidi"/>
        </w:rPr>
        <w:t>molTE</w:t>
      </w:r>
      <w:proofErr w:type="spellEnd"/>
      <w:r w:rsidRPr="00477B19">
        <w:rPr>
          <w:rFonts w:asciiTheme="majorBidi" w:hAnsiTheme="majorBidi" w:cstheme="majorBidi"/>
        </w:rPr>
        <w:t>/100 g</w:t>
      </w:r>
      <w:r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sz w:val="24"/>
          <w:szCs w:val="24"/>
        </w:rPr>
        <w:t>:</w:t>
      </w:r>
      <w:r w:rsidRPr="001914D6">
        <w:rPr>
          <w:rFonts w:asciiTheme="majorBidi" w:hAnsiTheme="majorBidi" w:cstheme="majorBidi"/>
        </w:rPr>
        <w:t xml:space="preserve"> </w:t>
      </w:r>
      <w:r w:rsidRPr="00F86A1F">
        <w:rPr>
          <w:rFonts w:asciiTheme="majorBidi" w:hAnsiTheme="majorBidi" w:cstheme="majorBidi"/>
        </w:rPr>
        <w:t>16</w:t>
      </w:r>
      <w:r>
        <w:rPr>
          <w:rFonts w:asciiTheme="majorBidi" w:hAnsiTheme="majorBidi" w:cstheme="majorBidi"/>
        </w:rPr>
        <w:t>.56</w:t>
      </w:r>
      <w:r w:rsidRPr="00F86A1F">
        <w:rPr>
          <w:rFonts w:asciiTheme="majorBidi" w:hAnsiTheme="majorBidi" w:cstheme="majorBidi"/>
        </w:rPr>
        <w:t>±1</w:t>
      </w:r>
      <w:r>
        <w:rPr>
          <w:rFonts w:asciiTheme="majorBidi" w:hAnsiTheme="majorBidi" w:cstheme="majorBidi"/>
        </w:rPr>
        <w:t xml:space="preserve">.29 vs. </w:t>
      </w:r>
      <w:r w:rsidRPr="00F86A1F">
        <w:rPr>
          <w:rFonts w:asciiTheme="majorBidi" w:hAnsiTheme="majorBidi" w:cstheme="majorBidi"/>
        </w:rPr>
        <w:t>10</w:t>
      </w:r>
      <w:r>
        <w:rPr>
          <w:rFonts w:asciiTheme="majorBidi" w:hAnsiTheme="majorBidi" w:cstheme="majorBidi"/>
        </w:rPr>
        <w:t>.74</w:t>
      </w:r>
      <w:r w:rsidRPr="00F86A1F">
        <w:rPr>
          <w:rFonts w:asciiTheme="majorBidi" w:hAnsiTheme="majorBidi" w:cstheme="majorBidi"/>
        </w:rPr>
        <w:t>±1</w:t>
      </w:r>
      <w:r>
        <w:rPr>
          <w:rFonts w:asciiTheme="majorBidi" w:hAnsiTheme="majorBidi" w:cstheme="majorBidi"/>
        </w:rPr>
        <w:t xml:space="preserve">.81; </w:t>
      </w:r>
      <w:r w:rsidRPr="0068093C">
        <w:rPr>
          <w:rFonts w:asciiTheme="majorBidi" w:hAnsiTheme="majorBidi" w:cstheme="majorBidi"/>
          <w:sz w:val="24"/>
          <w:szCs w:val="24"/>
        </w:rPr>
        <w:t>dietary lipophilic TAC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</w:rPr>
        <w:t>(</w:t>
      </w:r>
      <w:proofErr w:type="spellStart"/>
      <w:r>
        <w:rPr>
          <w:rFonts w:asciiTheme="majorBidi" w:hAnsiTheme="majorBidi" w:cstheme="majorBidi"/>
        </w:rPr>
        <w:t>m</w:t>
      </w:r>
      <w:r w:rsidRPr="00477B19">
        <w:rPr>
          <w:rFonts w:asciiTheme="majorBidi" w:hAnsiTheme="majorBidi" w:cstheme="majorBidi"/>
        </w:rPr>
        <w:t>molTE</w:t>
      </w:r>
      <w:proofErr w:type="spellEnd"/>
      <w:r w:rsidRPr="00477B19">
        <w:rPr>
          <w:rFonts w:asciiTheme="majorBidi" w:hAnsiTheme="majorBidi" w:cstheme="majorBidi"/>
        </w:rPr>
        <w:t>/100 g</w:t>
      </w:r>
      <w:r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sz w:val="24"/>
          <w:szCs w:val="24"/>
        </w:rPr>
        <w:t>:0.</w:t>
      </w:r>
      <w:r>
        <w:rPr>
          <w:rFonts w:asciiTheme="majorBidi" w:hAnsiTheme="majorBidi" w:cstheme="majorBidi"/>
        </w:rPr>
        <w:t xml:space="preserve">55±0.12 vs. 0.23±0.09; </w:t>
      </w:r>
      <w:r w:rsidRPr="0068093C">
        <w:rPr>
          <w:rFonts w:asciiTheme="majorBidi" w:hAnsiTheme="majorBidi" w:cstheme="majorBidi"/>
          <w:sz w:val="24"/>
          <w:szCs w:val="24"/>
        </w:rPr>
        <w:t>dietary phenolic TAC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</w:rPr>
        <w:t>(</w:t>
      </w:r>
      <w:proofErr w:type="spellStart"/>
      <w:r>
        <w:rPr>
          <w:rFonts w:asciiTheme="majorBidi" w:hAnsiTheme="majorBidi" w:cstheme="majorBidi"/>
        </w:rPr>
        <w:t>m</w:t>
      </w:r>
      <w:r w:rsidRPr="00477B19">
        <w:rPr>
          <w:rFonts w:asciiTheme="majorBidi" w:hAnsiTheme="majorBidi" w:cstheme="majorBidi"/>
        </w:rPr>
        <w:t>molTE</w:t>
      </w:r>
      <w:proofErr w:type="spellEnd"/>
      <w:r w:rsidRPr="00477B19">
        <w:rPr>
          <w:rFonts w:asciiTheme="majorBidi" w:hAnsiTheme="majorBidi" w:cstheme="majorBidi"/>
        </w:rPr>
        <w:t>/100 g</w:t>
      </w:r>
      <w:r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  <w:sz w:val="24"/>
          <w:szCs w:val="24"/>
        </w:rPr>
        <w:t>:</w:t>
      </w:r>
      <w:r w:rsidRPr="00835A9D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.84 ±0.31</w:t>
      </w:r>
      <w:r w:rsidRPr="0068093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vs. 0.</w:t>
      </w:r>
      <w:r>
        <w:rPr>
          <w:rFonts w:asciiTheme="majorBidi" w:hAnsiTheme="majorBidi" w:cstheme="majorBidi"/>
        </w:rPr>
        <w:t>98± 0.21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C24E02">
        <w:rPr>
          <w:rFonts w:asciiTheme="majorBidi" w:hAnsiTheme="majorBidi" w:cstheme="majorBidi"/>
          <w:sz w:val="24"/>
          <w:szCs w:val="24"/>
        </w:rPr>
        <w:t>(P&lt;0·</w:t>
      </w:r>
      <w:r>
        <w:rPr>
          <w:rFonts w:asciiTheme="majorBidi" w:hAnsiTheme="majorBidi" w:cstheme="majorBidi"/>
          <w:sz w:val="24"/>
          <w:szCs w:val="24"/>
        </w:rPr>
        <w:t>001 for all)</w:t>
      </w:r>
      <w:r w:rsidRPr="0068093C">
        <w:rPr>
          <w:rFonts w:asciiTheme="majorBidi" w:hAnsiTheme="majorBidi" w:cstheme="majorBidi"/>
          <w:sz w:val="24"/>
          <w:szCs w:val="24"/>
        </w:rPr>
        <w:t xml:space="preserve">) and dietary TAC (Beta=-0.53; P&lt;0.001) was statistically significant independent predictors that associated with the </w:t>
      </w:r>
      <w:proofErr w:type="spellStart"/>
      <w:r w:rsidRPr="0068093C">
        <w:rPr>
          <w:rFonts w:asciiTheme="majorBidi" w:hAnsiTheme="majorBidi" w:cstheme="majorBidi"/>
          <w:sz w:val="24"/>
          <w:szCs w:val="24"/>
        </w:rPr>
        <w:t>Gensini</w:t>
      </w:r>
      <w:proofErr w:type="spellEnd"/>
      <w:r w:rsidRPr="0068093C">
        <w:rPr>
          <w:rFonts w:asciiTheme="majorBidi" w:hAnsiTheme="majorBidi" w:cstheme="majorBidi"/>
          <w:sz w:val="24"/>
          <w:szCs w:val="24"/>
        </w:rPr>
        <w:t xml:space="preserve"> score values.</w:t>
      </w:r>
    </w:p>
    <w:p w:rsidR="00E9159B" w:rsidRPr="0068093C" w:rsidRDefault="00E9159B" w:rsidP="00E9159B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8093C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Pr="0068093C">
        <w:rPr>
          <w:rFonts w:asciiTheme="majorBidi" w:hAnsiTheme="majorBidi" w:cstheme="majorBidi"/>
          <w:sz w:val="24"/>
          <w:szCs w:val="24"/>
        </w:rPr>
        <w:t xml:space="preserve">There was a </w:t>
      </w:r>
      <w:r w:rsidRPr="0068093C">
        <w:rPr>
          <w:rFonts w:asciiTheme="majorBidi" w:hAnsiTheme="majorBidi" w:cstheme="majorBidi"/>
          <w:noProof/>
          <w:sz w:val="24"/>
          <w:szCs w:val="24"/>
        </w:rPr>
        <w:t>significant</w:t>
      </w:r>
      <w:r w:rsidRPr="0068093C">
        <w:rPr>
          <w:rFonts w:asciiTheme="majorBidi" w:hAnsiTheme="majorBidi" w:cstheme="majorBidi"/>
          <w:sz w:val="24"/>
          <w:szCs w:val="24"/>
        </w:rPr>
        <w:t xml:space="preserve"> association between dietary TAC and severity of stenosis in patients with coronary artery disease.</w:t>
      </w:r>
    </w:p>
    <w:p w:rsidR="00E9159B" w:rsidRDefault="00E9159B" w:rsidP="00E9159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Key</w:t>
      </w:r>
      <w:r w:rsidRPr="0068093C">
        <w:rPr>
          <w:rFonts w:asciiTheme="majorBidi" w:hAnsiTheme="majorBidi" w:cstheme="majorBidi"/>
          <w:b/>
          <w:bCs/>
          <w:sz w:val="24"/>
          <w:szCs w:val="24"/>
        </w:rPr>
        <w:t xml:space="preserve">words: </w:t>
      </w:r>
      <w:r w:rsidRPr="0068093C">
        <w:rPr>
          <w:rFonts w:asciiTheme="majorBidi" w:hAnsiTheme="majorBidi" w:cstheme="majorBidi"/>
          <w:sz w:val="24"/>
          <w:szCs w:val="24"/>
        </w:rPr>
        <w:t>coronary artery disease, total antioxidant capacity, diet,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8093C">
        <w:rPr>
          <w:rFonts w:asciiTheme="majorBidi" w:hAnsiTheme="majorBidi" w:cstheme="majorBidi"/>
          <w:sz w:val="24"/>
          <w:szCs w:val="24"/>
        </w:rPr>
        <w:t>Gensini</w:t>
      </w:r>
      <w:proofErr w:type="spellEnd"/>
      <w:r w:rsidRPr="0068093C">
        <w:rPr>
          <w:rFonts w:asciiTheme="majorBidi" w:hAnsiTheme="majorBidi" w:cstheme="majorBidi"/>
          <w:sz w:val="24"/>
          <w:szCs w:val="24"/>
        </w:rPr>
        <w:t xml:space="preserve"> Score </w:t>
      </w:r>
    </w:p>
    <w:p w:rsidR="00E9159B" w:rsidRPr="0068093C" w:rsidRDefault="00E9159B" w:rsidP="00E9159B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4A30DB" w:rsidRDefault="004A30DB"/>
    <w:sectPr w:rsidR="004A3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A5112"/>
    <w:multiLevelType w:val="hybridMultilevel"/>
    <w:tmpl w:val="EF4E24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43067"/>
    <w:multiLevelType w:val="hybridMultilevel"/>
    <w:tmpl w:val="1B946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M0NDOzMLE0sDQyMDNX0lEKTi0uzszPAykwrAUAsVvokCwAAAA="/>
  </w:docVars>
  <w:rsids>
    <w:rsidRoot w:val="00E9159B"/>
    <w:rsid w:val="004A30DB"/>
    <w:rsid w:val="00E9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4F40F-3692-4FC5-BAF2-B34C0BD2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59B"/>
    <w:pPr>
      <w:bidi/>
      <w:ind w:left="720"/>
      <w:contextualSpacing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9289-B115-41CA-AF3D-CCFB6F2EC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AsanArgham</dc:creator>
  <cp:keywords/>
  <dc:description/>
  <cp:lastModifiedBy>AsanArgham</cp:lastModifiedBy>
  <cp:revision>1</cp:revision>
  <dcterms:created xsi:type="dcterms:W3CDTF">2020-02-23T07:31:00Z</dcterms:created>
  <dcterms:modified xsi:type="dcterms:W3CDTF">2020-02-23T07:32:00Z</dcterms:modified>
</cp:coreProperties>
</file>