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B87" w:rsidRPr="0073637D" w:rsidRDefault="000E7B87" w:rsidP="000E7B87">
      <w:pPr>
        <w:spacing w:line="240" w:lineRule="auto"/>
        <w:ind w:firstLine="0"/>
        <w:rPr>
          <w:rFonts w:ascii="Times New Roman" w:hAnsi="Times New Roman" w:cs="Times New Roman"/>
          <w:b/>
          <w:sz w:val="24"/>
          <w:szCs w:val="24"/>
        </w:rPr>
      </w:pPr>
      <w:r w:rsidRPr="0073637D">
        <w:rPr>
          <w:rFonts w:ascii="Times New Roman" w:hAnsi="Times New Roman" w:cs="Times New Roman"/>
          <w:b/>
          <w:sz w:val="24"/>
          <w:szCs w:val="24"/>
        </w:rPr>
        <w:t>ABSTRACT</w:t>
      </w:r>
    </w:p>
    <w:p w:rsidR="000E7B87" w:rsidRDefault="000E7B87" w:rsidP="000E7B87">
      <w:pPr>
        <w:spacing w:line="240" w:lineRule="auto"/>
        <w:rPr>
          <w:rFonts w:ascii="Times New Roman" w:hAnsi="Times New Roman" w:cs="Times New Roman"/>
          <w:sz w:val="24"/>
          <w:szCs w:val="24"/>
        </w:rPr>
      </w:pPr>
      <w:r w:rsidRPr="0075014A">
        <w:rPr>
          <w:rFonts w:ascii="Times New Roman" w:hAnsi="Times New Roman" w:cs="Times New Roman"/>
          <w:sz w:val="24"/>
          <w:szCs w:val="24"/>
        </w:rPr>
        <w:t xml:space="preserve">HIV/AIDS is a global pandemic and have a major impact on nutrition, food security, agricultural production and rural societies. The present investigation was carried out at ART centre of </w:t>
      </w:r>
      <w:proofErr w:type="spellStart"/>
      <w:r w:rsidRPr="0075014A">
        <w:rPr>
          <w:rFonts w:ascii="Times New Roman" w:hAnsi="Times New Roman" w:cs="Times New Roman"/>
          <w:sz w:val="24"/>
          <w:szCs w:val="24"/>
        </w:rPr>
        <w:t>Susheela</w:t>
      </w:r>
      <w:proofErr w:type="spellEnd"/>
      <w:r w:rsidRPr="0075014A">
        <w:rPr>
          <w:rFonts w:ascii="Times New Roman" w:hAnsi="Times New Roman" w:cs="Times New Roman"/>
          <w:sz w:val="24"/>
          <w:szCs w:val="24"/>
        </w:rPr>
        <w:t xml:space="preserve"> </w:t>
      </w:r>
      <w:proofErr w:type="spellStart"/>
      <w:r w:rsidRPr="0075014A">
        <w:rPr>
          <w:rFonts w:ascii="Times New Roman" w:hAnsi="Times New Roman" w:cs="Times New Roman"/>
          <w:sz w:val="24"/>
          <w:szCs w:val="24"/>
        </w:rPr>
        <w:t>Tiwari</w:t>
      </w:r>
      <w:proofErr w:type="spellEnd"/>
      <w:r w:rsidRPr="0075014A">
        <w:rPr>
          <w:rFonts w:ascii="Times New Roman" w:hAnsi="Times New Roman" w:cs="Times New Roman"/>
          <w:sz w:val="24"/>
          <w:szCs w:val="24"/>
        </w:rPr>
        <w:t xml:space="preserve"> Hospital, </w:t>
      </w:r>
      <w:proofErr w:type="spellStart"/>
      <w:r w:rsidRPr="0075014A">
        <w:rPr>
          <w:rFonts w:ascii="Times New Roman" w:hAnsi="Times New Roman" w:cs="Times New Roman"/>
          <w:sz w:val="24"/>
          <w:szCs w:val="24"/>
        </w:rPr>
        <w:t>Haldwani</w:t>
      </w:r>
      <w:proofErr w:type="spellEnd"/>
      <w:r w:rsidRPr="0075014A">
        <w:rPr>
          <w:rFonts w:ascii="Times New Roman" w:hAnsi="Times New Roman" w:cs="Times New Roman"/>
          <w:sz w:val="24"/>
          <w:szCs w:val="24"/>
        </w:rPr>
        <w:t xml:space="preserve">, </w:t>
      </w:r>
      <w:proofErr w:type="spellStart"/>
      <w:proofErr w:type="gramStart"/>
      <w:r w:rsidRPr="0075014A">
        <w:rPr>
          <w:rFonts w:ascii="Times New Roman" w:hAnsi="Times New Roman" w:cs="Times New Roman"/>
          <w:sz w:val="24"/>
          <w:szCs w:val="24"/>
        </w:rPr>
        <w:t>Uttarakhand</w:t>
      </w:r>
      <w:proofErr w:type="spellEnd"/>
      <w:proofErr w:type="gramEnd"/>
      <w:r w:rsidRPr="0075014A">
        <w:rPr>
          <w:rFonts w:ascii="Times New Roman" w:hAnsi="Times New Roman" w:cs="Times New Roman"/>
          <w:sz w:val="24"/>
          <w:szCs w:val="24"/>
        </w:rPr>
        <w:t xml:space="preserve">, India.  A manual was produced and pretested to impart nutrition education. The baseline information from all registered subjects was collected; dietary intake and nutritional need were assessed. The Nutrition education was imparted to experimental group and was followed every month for the period of six months and after six months dietary intake was assessed for both groups. The study revealed that majority of the subjects was in the age group 18-60 years. A 10.92 per cent subjects were graduates. The per capita income per month of the subjects was Rs.2125±1512. The female subjects showed </w:t>
      </w:r>
      <w:r w:rsidRPr="0075014A">
        <w:rPr>
          <w:rFonts w:ascii="Times New Roman" w:hAnsi="Times New Roman" w:cs="Times New Roman"/>
          <w:spacing w:val="4"/>
          <w:sz w:val="24"/>
          <w:szCs w:val="24"/>
        </w:rPr>
        <w:t>no significant difference between energy intakes at baseline and after six months by both groups. But experimental group showed a significant improvement (p&lt;0.05) in protein intake after six months while no significant difference was found in control group. Among the male subjects no significant difference in energy and protein intake was found in both groups.</w:t>
      </w:r>
      <w:r w:rsidRPr="0075014A">
        <w:rPr>
          <w:rFonts w:ascii="Times New Roman" w:hAnsi="Times New Roman" w:cs="Times New Roman"/>
          <w:sz w:val="24"/>
          <w:szCs w:val="24"/>
        </w:rPr>
        <w:t xml:space="preserve"> Per cent energy intake of female subjects showed positive deviation of 6.73 and 3.45 per cent of RDA at baseline by sedentary and moderate subjects of experimental group, respectively. Protein intake increased only 3.37 per cent by experimental group. Per cent energy intake of male subjects showed a positive deviation of 2.56 and 5.78 per cent of RDA from baseline by sedentary and moderate subjects of experimental group. Protein intake increased by 7.96 per cent by experimental </w:t>
      </w:r>
      <w:proofErr w:type="spellStart"/>
      <w:r w:rsidRPr="0075014A">
        <w:rPr>
          <w:rFonts w:ascii="Times New Roman" w:hAnsi="Times New Roman" w:cs="Times New Roman"/>
          <w:sz w:val="24"/>
          <w:szCs w:val="24"/>
        </w:rPr>
        <w:t>group.In</w:t>
      </w:r>
      <w:proofErr w:type="spellEnd"/>
      <w:r w:rsidRPr="0075014A">
        <w:rPr>
          <w:rFonts w:ascii="Times New Roman" w:hAnsi="Times New Roman" w:cs="Times New Roman"/>
          <w:sz w:val="24"/>
          <w:szCs w:val="24"/>
        </w:rPr>
        <w:t xml:space="preserve"> experimental group 3.39 and 6.78 per cent subjects achieved &gt; 100 per cent of RDA of energy at baseline and after six months, respectively. </w:t>
      </w:r>
      <w:proofErr w:type="gramStart"/>
      <w:r w:rsidRPr="0075014A">
        <w:rPr>
          <w:rFonts w:ascii="Times New Roman" w:hAnsi="Times New Roman" w:cs="Times New Roman"/>
          <w:sz w:val="24"/>
          <w:szCs w:val="24"/>
        </w:rPr>
        <w:t>Whereas, 45.76 and 55.93 per cent subjects achieved 75-100 per cent of RDA of energy at baseline and after six months, respectively.</w:t>
      </w:r>
      <w:proofErr w:type="gramEnd"/>
      <w:r w:rsidRPr="0075014A">
        <w:rPr>
          <w:rFonts w:ascii="Times New Roman" w:hAnsi="Times New Roman" w:cs="Times New Roman"/>
          <w:color w:val="1F1A17"/>
          <w:sz w:val="24"/>
          <w:szCs w:val="24"/>
        </w:rPr>
        <w:t xml:space="preserve"> Nutrition education showed to have insignificant difference in energy and protein intake of subjects except in the protein intake of female subjects of experimental group where significant </w:t>
      </w:r>
      <w:r w:rsidRPr="0075014A">
        <w:rPr>
          <w:rFonts w:ascii="Times New Roman" w:hAnsi="Times New Roman" w:cs="Times New Roman"/>
          <w:sz w:val="24"/>
          <w:szCs w:val="24"/>
        </w:rPr>
        <w:t>(p&lt;0.05) improvement was found. Effective management of the disease should include compulsory diet counselling, nutritional supplementation and financial assistance along with antiretroviral therapy.</w:t>
      </w:r>
    </w:p>
    <w:p w:rsidR="000E7B87" w:rsidRPr="0075014A" w:rsidRDefault="000E7B87" w:rsidP="000E7B87">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Key </w:t>
      </w:r>
      <w:r w:rsidRPr="0073637D">
        <w:rPr>
          <w:rFonts w:ascii="Times New Roman" w:hAnsi="Times New Roman" w:cs="Times New Roman"/>
          <w:b/>
          <w:sz w:val="24"/>
          <w:szCs w:val="24"/>
        </w:rPr>
        <w:t>words</w:t>
      </w:r>
      <w:r>
        <w:rPr>
          <w:rFonts w:ascii="Times New Roman" w:hAnsi="Times New Roman" w:cs="Times New Roman"/>
          <w:sz w:val="24"/>
          <w:szCs w:val="24"/>
        </w:rPr>
        <w:t>: HIV, Dietary intake, Dietary adequacy, nutrition education</w:t>
      </w:r>
    </w:p>
    <w:p w:rsidR="000E7B87" w:rsidRDefault="000E7B87" w:rsidP="000E7B87">
      <w:pPr>
        <w:spacing w:line="240" w:lineRule="auto"/>
        <w:ind w:firstLine="0"/>
        <w:rPr>
          <w:rFonts w:ascii="Times New Roman" w:hAnsi="Times New Roman" w:cs="Times New Roman"/>
          <w:b/>
          <w:sz w:val="24"/>
          <w:szCs w:val="24"/>
        </w:rPr>
      </w:pPr>
    </w:p>
    <w:p w:rsidR="003F6376" w:rsidRPr="000E7B87" w:rsidRDefault="003F6376" w:rsidP="000E7B87"/>
    <w:sectPr w:rsidR="003F6376" w:rsidRPr="000E7B87" w:rsidSect="003F63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7B87"/>
    <w:rsid w:val="000E7B87"/>
    <w:rsid w:val="003F63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87"/>
    <w:pPr>
      <w:spacing w:before="120" w:after="0" w:line="360" w:lineRule="auto"/>
      <w:ind w:firstLine="720"/>
      <w:jc w:val="both"/>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2017-05-02T08:20:00Z</dcterms:created>
  <dcterms:modified xsi:type="dcterms:W3CDTF">2017-05-02T08:22:00Z</dcterms:modified>
</cp:coreProperties>
</file>