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5867C2" w:rsidP="00494130">
      <w:pPr>
        <w:pStyle w:val="Heading1"/>
        <w:spacing w:before="170"/>
        <w:ind w:left="0"/>
      </w:pPr>
      <w:r>
        <w:rPr>
          <w:color w:val="337AB7"/>
        </w:rPr>
        <w:t>Olive waste derived nutraceutical</w:t>
      </w:r>
      <w:r w:rsidR="00973ED0">
        <w:rPr>
          <w:color w:val="337AB7"/>
        </w:rPr>
        <w:t>s: sustainable formulation and biological characterization</w:t>
      </w:r>
    </w:p>
    <w:p w:rsidR="00973ED0" w:rsidRPr="00D95B2F" w:rsidRDefault="00973ED0" w:rsidP="005973B9">
      <w:pPr>
        <w:pStyle w:val="BodyText"/>
        <w:spacing w:before="73" w:line="198" w:lineRule="exact"/>
        <w:ind w:left="100" w:right="5987"/>
        <w:rPr>
          <w:rFonts w:ascii="Arial" w:hAnsi="Arial" w:cs="Arial"/>
        </w:rPr>
      </w:pPr>
      <w:r w:rsidRPr="00D95B2F">
        <w:rPr>
          <w:rFonts w:ascii="Arial" w:hAnsi="Arial" w:cs="Arial"/>
        </w:rPr>
        <w:t>Kristina Radić</w:t>
      </w:r>
      <w:r w:rsidR="005973B9" w:rsidRPr="00D95B2F">
        <w:rPr>
          <w:rFonts w:ascii="Arial" w:hAnsi="Arial" w:cs="Arial"/>
        </w:rPr>
        <w:t xml:space="preserve">, </w:t>
      </w:r>
      <w:r w:rsidRPr="00D95B2F">
        <w:rPr>
          <w:rFonts w:ascii="Arial" w:hAnsi="Arial" w:cs="Arial"/>
        </w:rPr>
        <w:t>University of Zagreb, Faculty of Pharmacy and Biochemistry, Zagreb, Croatia</w:t>
      </w:r>
    </w:p>
    <w:p w:rsidR="00973ED0" w:rsidRPr="00D95B2F" w:rsidRDefault="00973ED0" w:rsidP="00973ED0">
      <w:pPr>
        <w:pStyle w:val="BodyText"/>
        <w:spacing w:before="73" w:line="198" w:lineRule="exact"/>
        <w:ind w:left="100" w:right="5987"/>
        <w:rPr>
          <w:rFonts w:ascii="Arial" w:hAnsi="Arial" w:cs="Arial"/>
        </w:rPr>
      </w:pPr>
      <w:r w:rsidRPr="00D95B2F">
        <w:rPr>
          <w:rFonts w:ascii="Arial" w:hAnsi="Arial" w:cs="Arial"/>
        </w:rPr>
        <w:t>Dubravka Vitali Čepo, University of Zagreb, Faculty of Pharmacy and Biochemistry, Zagreb, Croatia</w:t>
      </w:r>
    </w:p>
    <w:p w:rsidR="00AE3E37" w:rsidRDefault="00AE3E37" w:rsidP="00973ED0">
      <w:pPr>
        <w:pStyle w:val="BodyText"/>
        <w:spacing w:before="73" w:line="198" w:lineRule="exact"/>
        <w:ind w:left="100" w:right="5987"/>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A9710C">
      <w:pPr>
        <w:pStyle w:val="BodyText"/>
        <w:spacing w:before="90" w:line="280" w:lineRule="auto"/>
        <w:ind w:left="100"/>
        <w:jc w:val="both"/>
      </w:pPr>
      <w:r w:rsidRPr="00E641C8">
        <w:rPr>
          <w:b/>
        </w:rPr>
        <w:t>Statement of the Problem:</w:t>
      </w:r>
      <w:r>
        <w:t xml:space="preserve"> </w:t>
      </w:r>
      <w:r w:rsidR="00973ED0">
        <w:t xml:space="preserve">Olive </w:t>
      </w:r>
      <w:r w:rsidR="004422C3">
        <w:t>pomace</w:t>
      </w:r>
      <w:r w:rsidR="00973ED0">
        <w:t xml:space="preserve">, remaining in large </w:t>
      </w:r>
      <w:r w:rsidR="004422C3">
        <w:t xml:space="preserve">amounts </w:t>
      </w:r>
      <w:r w:rsidR="00973ED0">
        <w:t xml:space="preserve">after the production of olive oil represents serious ecological problem in olive-oil producing countries. At the same time, it is a valuable source of bioactive polyphenolic substances, also present in olive oil, with proven health benefits.  Due to the lack of efficient and sustainable methods of formulation and data on its </w:t>
      </w:r>
      <w:r w:rsidR="004422C3">
        <w:t xml:space="preserve">biological activity and particular possible areas of application, the use of olive pomace extract as nutraceutical/functional food ingredient is still limited. Therefore, the aim of our research was to develop sustainable formulation process and evaluate biological activity (in vitro bioavailability and antioxidant activity) of dry polyphenol rich olive pomace extracts. </w:t>
      </w:r>
      <w:r w:rsidR="004422C3" w:rsidRPr="008E0711">
        <w:rPr>
          <w:b/>
        </w:rPr>
        <w:t>Methodology</w:t>
      </w:r>
      <w:r w:rsidR="008756E6" w:rsidRPr="008E0711">
        <w:rPr>
          <w:b/>
        </w:rPr>
        <w:t>:</w:t>
      </w:r>
      <w:r w:rsidR="008756E6">
        <w:t xml:space="preserve"> </w:t>
      </w:r>
      <w:r w:rsidR="004422C3">
        <w:t>Green extraction methods (ultrasound- and microwave-</w:t>
      </w:r>
      <w:r w:rsidR="00D95B2F">
        <w:t xml:space="preserve"> </w:t>
      </w:r>
      <w:r w:rsidR="004422C3">
        <w:t>assisted extraction with food grade solvents) were optimized for the extraction of polyphenols from olive pomace. Spray-drying was combined with cyclodextrin encapsulation</w:t>
      </w:r>
      <w:r w:rsidR="008E0711">
        <w:t xml:space="preserve"> (different types)</w:t>
      </w:r>
      <w:r w:rsidR="004422C3">
        <w:t xml:space="preserve"> for the formulation of stabile dry product</w:t>
      </w:r>
      <w:r w:rsidR="008E0711">
        <w:t>s with acceptable technological properties</w:t>
      </w:r>
      <w:r w:rsidR="004422C3">
        <w:t xml:space="preserve">. </w:t>
      </w:r>
      <w:r w:rsidR="004422C3" w:rsidRPr="008E0711">
        <w:rPr>
          <w:i/>
        </w:rPr>
        <w:t>In vitro</w:t>
      </w:r>
      <w:r w:rsidR="004422C3">
        <w:t xml:space="preserve"> bioavailability of polyphenols </w:t>
      </w:r>
      <w:r w:rsidR="008E0711">
        <w:t xml:space="preserve">from </w:t>
      </w:r>
      <w:r w:rsidR="004422C3">
        <w:t xml:space="preserve">obtained formulations was evaluated </w:t>
      </w:r>
      <w:r w:rsidR="008E0711">
        <w:t>in Caco-2 cell model.</w:t>
      </w:r>
      <w:r w:rsidR="004422C3">
        <w:t xml:space="preserve"> </w:t>
      </w:r>
      <w:r w:rsidR="008E0711">
        <w:t xml:space="preserve">Antioxidant activity was evaluated in different chemical-, food- and biological model systems. </w:t>
      </w:r>
      <w:r w:rsidRPr="004422C3">
        <w:rPr>
          <w:b/>
        </w:rPr>
        <w:t>Findings:</w:t>
      </w:r>
      <w:r w:rsidR="008E0711">
        <w:rPr>
          <w:b/>
        </w:rPr>
        <w:t xml:space="preserve"> </w:t>
      </w:r>
      <w:r w:rsidR="008E0711" w:rsidRPr="008E0711">
        <w:t>Microwave-assisted extraction with 60% ethanol resulted with the highest yields of bioactive polyphenols in obtained extracts. Cyclodextrin encapsulation was combined with spray-drying to obtain dry extracts that were organoleptically acceptable and it significantly affected biological activity of obtained formulations.</w:t>
      </w:r>
      <w:r>
        <w:t xml:space="preserve"> </w:t>
      </w:r>
      <w:r w:rsidR="002765A3">
        <w:t>H</w:t>
      </w:r>
      <w:r w:rsidR="008E0711">
        <w:t>ydroxypropyl-</w:t>
      </w:r>
      <w:r w:rsidR="008E0711">
        <w:rPr>
          <w:rFonts w:ascii="Times New Roman" w:hAnsi="Times New Roman" w:cs="Times New Roman"/>
        </w:rPr>
        <w:t>β</w:t>
      </w:r>
      <w:r w:rsidR="008E0711">
        <w:t xml:space="preserve">-cyclodextrin and randomly methylated </w:t>
      </w:r>
      <w:r w:rsidR="008E0711">
        <w:rPr>
          <w:rFonts w:ascii="Times New Roman" w:hAnsi="Times New Roman" w:cs="Times New Roman"/>
        </w:rPr>
        <w:t>β</w:t>
      </w:r>
      <w:r w:rsidR="008E0711">
        <w:t>-cyclodextrin</w:t>
      </w:r>
      <w:r w:rsidR="002765A3">
        <w:t xml:space="preserve"> encapsulated </w:t>
      </w:r>
      <w:r w:rsidR="00D95B2F">
        <w:t>extracts</w:t>
      </w:r>
      <w:r w:rsidR="008E0711">
        <w:t xml:space="preserve"> showed </w:t>
      </w:r>
      <w:r w:rsidR="002765A3">
        <w:t>excellent antioxidant activity in food- and biological models.</w:t>
      </w:r>
      <w:r w:rsidR="008E0711">
        <w:t xml:space="preserve"> Gastrointestinal stability of polyphenols in obtained extracts was good, with significant conversion of different polyphenols into hydroxytyrosol. Cyclodextrins significantly increased the content of bioactive p</w:t>
      </w:r>
      <w:r w:rsidR="002765A3">
        <w:t>olyphenols in obtained formulations and reduced transep</w:t>
      </w:r>
      <w:r w:rsidR="00D95B2F">
        <w:t>i</w:t>
      </w:r>
      <w:r w:rsidR="002765A3">
        <w:t>t</w:t>
      </w:r>
      <w:r w:rsidR="00D95B2F">
        <w:t>h</w:t>
      </w:r>
      <w:r w:rsidR="002765A3">
        <w:t>elial transfer of polyphenols across Caco-2 cell monolayer, but to a lesser extent.</w:t>
      </w:r>
      <w:r w:rsidR="008E0711">
        <w:t xml:space="preserve"> </w:t>
      </w:r>
      <w:r w:rsidRPr="00973ED0">
        <w:rPr>
          <w:b/>
        </w:rPr>
        <w:t>Conclusion &amp; Significance:</w:t>
      </w:r>
      <w:r>
        <w:t xml:space="preserve"> </w:t>
      </w:r>
      <w:r w:rsidR="002765A3">
        <w:t>Olive pomace extracts obtained by novel sustainable process possess significant biological activity and can be used as nutraceuticals/functional food ingredients.</w:t>
      </w: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275CB6" w:rsidRDefault="00275CB6" w:rsidP="005973B9">
      <w:pPr>
        <w:spacing w:line="204" w:lineRule="exact"/>
        <w:rPr>
          <w:rFonts w:ascii="Arial"/>
          <w:b/>
          <w:color w:val="BF5A14"/>
          <w:sz w:val="20"/>
        </w:rPr>
      </w:pPr>
      <w:r w:rsidRPr="00275CB6">
        <w:rPr>
          <w:rFonts w:ascii="Arial"/>
          <w:b/>
          <w:noProof/>
          <w:color w:val="BF5A14"/>
          <w:sz w:val="20"/>
        </w:rPr>
        <w:drawing>
          <wp:anchor distT="0" distB="0" distL="114300" distR="114300" simplePos="0" relativeHeight="251658240" behindDoc="1" locked="0" layoutInCell="1" allowOverlap="1" wp14:anchorId="154DFE53">
            <wp:simplePos x="0" y="0"/>
            <wp:positionH relativeFrom="column">
              <wp:align>right</wp:align>
            </wp:positionH>
            <wp:positionV relativeFrom="paragraph">
              <wp:posOffset>130810</wp:posOffset>
            </wp:positionV>
            <wp:extent cx="3165475" cy="1780540"/>
            <wp:effectExtent l="0" t="0" r="0" b="0"/>
            <wp:wrapTight wrapText="bothSides">
              <wp:wrapPolygon edited="0">
                <wp:start x="0" y="0"/>
                <wp:lineTo x="0" y="21261"/>
                <wp:lineTo x="21448" y="21261"/>
                <wp:lineTo x="21448" y="0"/>
                <wp:lineTo x="0" y="0"/>
              </wp:wrapPolygon>
            </wp:wrapTight>
            <wp:docPr id="2" name="Slika 2" descr="C:\Users\Korisnik\Dropbox\kongres London\Slik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ropbox\kongres London\Slika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80540"/>
                    </a:xfrm>
                    <a:prstGeom prst="rect">
                      <a:avLst/>
                    </a:prstGeom>
                    <a:noFill/>
                    <a:ln>
                      <a:noFill/>
                    </a:ln>
                  </pic:spPr>
                </pic:pic>
              </a:graphicData>
            </a:graphic>
          </wp:anchor>
        </w:drawing>
      </w:r>
      <w:r w:rsidR="005973B9">
        <w:rPr>
          <w:rFonts w:ascii="Arial"/>
          <w:b/>
          <w:color w:val="BF5A14"/>
          <w:sz w:val="20"/>
        </w:rPr>
        <w:br/>
      </w:r>
    </w:p>
    <w:p w:rsidR="005973B9" w:rsidRDefault="00D95B2F" w:rsidP="005973B9">
      <w:pPr>
        <w:spacing w:line="204" w:lineRule="exact"/>
        <w:rPr>
          <w:rFonts w:ascii="Arial"/>
          <w:b/>
          <w:sz w:val="20"/>
        </w:rPr>
      </w:pPr>
      <w:r>
        <w:rPr>
          <w:rFonts w:ascii="Arial"/>
          <w:b/>
          <w:color w:val="BF5A14"/>
          <w:sz w:val="20"/>
        </w:rPr>
        <w:t>Recent Publications</w:t>
      </w:r>
    </w:p>
    <w:p w:rsidR="005973B9" w:rsidRPr="00D95B2F" w:rsidRDefault="00D95B2F" w:rsidP="00D95B2F">
      <w:pPr>
        <w:pStyle w:val="ListParagraph"/>
        <w:numPr>
          <w:ilvl w:val="0"/>
          <w:numId w:val="3"/>
        </w:numPr>
        <w:rPr>
          <w:sz w:val="18"/>
        </w:rPr>
      </w:pPr>
      <w:r w:rsidRPr="00D95B2F">
        <w:rPr>
          <w:sz w:val="18"/>
        </w:rPr>
        <w:t xml:space="preserve">López de las </w:t>
      </w:r>
      <w:proofErr w:type="spellStart"/>
      <w:r w:rsidRPr="00D95B2F">
        <w:rPr>
          <w:sz w:val="18"/>
        </w:rPr>
        <w:t>Hazas</w:t>
      </w:r>
      <w:proofErr w:type="spellEnd"/>
      <w:r w:rsidRPr="00D95B2F">
        <w:rPr>
          <w:sz w:val="18"/>
        </w:rPr>
        <w:t xml:space="preserve"> MC et. al (2016</w:t>
      </w:r>
      <w:r w:rsidR="005973B9" w:rsidRPr="00D95B2F">
        <w:rPr>
          <w:sz w:val="18"/>
        </w:rPr>
        <w:t xml:space="preserve">) </w:t>
      </w:r>
      <w:r w:rsidRPr="00D95B2F">
        <w:rPr>
          <w:sz w:val="18"/>
        </w:rPr>
        <w:t xml:space="preserve">Differential absorption and metabolism of </w:t>
      </w:r>
      <w:proofErr w:type="spellStart"/>
      <w:r w:rsidRPr="00D95B2F">
        <w:rPr>
          <w:sz w:val="18"/>
        </w:rPr>
        <w:t>hydroxytyrosol</w:t>
      </w:r>
      <w:proofErr w:type="spellEnd"/>
      <w:r w:rsidRPr="00D95B2F">
        <w:rPr>
          <w:sz w:val="18"/>
        </w:rPr>
        <w:t xml:space="preserve"> and its precursors oleuropein and </w:t>
      </w:r>
      <w:proofErr w:type="spellStart"/>
      <w:r w:rsidRPr="00D95B2F">
        <w:rPr>
          <w:sz w:val="18"/>
        </w:rPr>
        <w:t>secoiridoids</w:t>
      </w:r>
      <w:proofErr w:type="spellEnd"/>
      <w:r w:rsidR="005973B9" w:rsidRPr="00D95B2F">
        <w:rPr>
          <w:sz w:val="18"/>
        </w:rPr>
        <w:t xml:space="preserve">. </w:t>
      </w:r>
      <w:r w:rsidRPr="00D95B2F">
        <w:rPr>
          <w:sz w:val="18"/>
        </w:rPr>
        <w:t>Journal of Functional Foods 22:52-63</w:t>
      </w:r>
      <w:r>
        <w:rPr>
          <w:sz w:val="18"/>
        </w:rPr>
        <w:t>.</w:t>
      </w:r>
    </w:p>
    <w:p w:rsidR="005973B9" w:rsidRPr="00D95B2F" w:rsidRDefault="00D95B2F" w:rsidP="00D95B2F">
      <w:pPr>
        <w:pStyle w:val="ListParagraph"/>
        <w:numPr>
          <w:ilvl w:val="0"/>
          <w:numId w:val="3"/>
        </w:numPr>
        <w:rPr>
          <w:sz w:val="18"/>
        </w:rPr>
      </w:pPr>
      <w:r w:rsidRPr="00D95B2F">
        <w:rPr>
          <w:sz w:val="18"/>
        </w:rPr>
        <w:t xml:space="preserve">Braithwaite </w:t>
      </w:r>
      <w:proofErr w:type="spellStart"/>
      <w:r w:rsidRPr="00D95B2F">
        <w:rPr>
          <w:sz w:val="18"/>
        </w:rPr>
        <w:t>M et</w:t>
      </w:r>
      <w:proofErr w:type="spellEnd"/>
      <w:r w:rsidRPr="00D95B2F">
        <w:rPr>
          <w:sz w:val="18"/>
        </w:rPr>
        <w:t>. al (2014</w:t>
      </w:r>
      <w:r w:rsidR="005973B9" w:rsidRPr="00D95B2F">
        <w:rPr>
          <w:sz w:val="18"/>
        </w:rPr>
        <w:t xml:space="preserve">) </w:t>
      </w:r>
      <w:r w:rsidRPr="00D95B2F">
        <w:rPr>
          <w:sz w:val="18"/>
        </w:rPr>
        <w:t>Nutraceutical-based therapeutics and formulation strategies augmenting their efficiency to complement modern medicine: An overview</w:t>
      </w:r>
      <w:r w:rsidR="005973B9" w:rsidRPr="00D95B2F">
        <w:rPr>
          <w:sz w:val="18"/>
        </w:rPr>
        <w:t xml:space="preserve">. </w:t>
      </w:r>
      <w:r w:rsidRPr="00D95B2F">
        <w:rPr>
          <w:sz w:val="18"/>
        </w:rPr>
        <w:t>Journal of Functional Foods 6(1):82-99</w:t>
      </w:r>
      <w:r>
        <w:rPr>
          <w:sz w:val="18"/>
        </w:rPr>
        <w:t>.</w:t>
      </w:r>
    </w:p>
    <w:p w:rsidR="005973B9" w:rsidRPr="00D95B2F" w:rsidRDefault="00D95B2F" w:rsidP="00D95B2F">
      <w:pPr>
        <w:pStyle w:val="ListParagraph"/>
        <w:numPr>
          <w:ilvl w:val="0"/>
          <w:numId w:val="3"/>
        </w:numPr>
        <w:rPr>
          <w:sz w:val="18"/>
        </w:rPr>
      </w:pPr>
      <w:r w:rsidRPr="00D95B2F">
        <w:rPr>
          <w:sz w:val="18"/>
        </w:rPr>
        <w:t>García-</w:t>
      </w:r>
      <w:proofErr w:type="spellStart"/>
      <w:r w:rsidRPr="00D95B2F">
        <w:rPr>
          <w:sz w:val="18"/>
        </w:rPr>
        <w:t>Padial</w:t>
      </w:r>
      <w:proofErr w:type="spellEnd"/>
      <w:r w:rsidRPr="00D95B2F">
        <w:rPr>
          <w:sz w:val="18"/>
        </w:rPr>
        <w:t xml:space="preserve"> </w:t>
      </w:r>
      <w:proofErr w:type="spellStart"/>
      <w:r w:rsidRPr="00D95B2F">
        <w:rPr>
          <w:sz w:val="18"/>
        </w:rPr>
        <w:t>M et</w:t>
      </w:r>
      <w:proofErr w:type="spellEnd"/>
      <w:r w:rsidRPr="00D95B2F">
        <w:rPr>
          <w:sz w:val="18"/>
        </w:rPr>
        <w:t>. al (2013</w:t>
      </w:r>
      <w:r w:rsidR="005973B9" w:rsidRPr="00D95B2F">
        <w:rPr>
          <w:sz w:val="18"/>
        </w:rPr>
        <w:t>)</w:t>
      </w:r>
      <w:r w:rsidRPr="00D95B2F">
        <w:rPr>
          <w:sz w:val="18"/>
        </w:rPr>
        <w:t xml:space="preserve"> The Role of Cyclodextrins in ORAC-Fluorescence Assays. Antioxidant Capacity of </w:t>
      </w:r>
      <w:proofErr w:type="spellStart"/>
      <w:r w:rsidRPr="00D95B2F">
        <w:rPr>
          <w:sz w:val="18"/>
        </w:rPr>
        <w:t>Tyrosol</w:t>
      </w:r>
      <w:proofErr w:type="spellEnd"/>
      <w:r w:rsidRPr="00D95B2F">
        <w:rPr>
          <w:sz w:val="18"/>
        </w:rPr>
        <w:t xml:space="preserve"> and Caffeic Acid with Hydroxypropyl-β-Cyclodextrin</w:t>
      </w:r>
      <w:r w:rsidR="005973B9" w:rsidRPr="00D95B2F">
        <w:rPr>
          <w:sz w:val="18"/>
        </w:rPr>
        <w:t xml:space="preserve">. </w:t>
      </w:r>
      <w:r w:rsidRPr="00D95B2F">
        <w:rPr>
          <w:sz w:val="18"/>
        </w:rPr>
        <w:t>Journal of Agricultural and Food Chemistry 61(50)</w:t>
      </w:r>
      <w:r>
        <w:rPr>
          <w:sz w:val="18"/>
        </w:rPr>
        <w:t>.</w:t>
      </w:r>
    </w:p>
    <w:p w:rsidR="00AE3E37" w:rsidRDefault="00D95B2F" w:rsidP="00D95B2F">
      <w:pPr>
        <w:pStyle w:val="ListParagraph"/>
        <w:numPr>
          <w:ilvl w:val="0"/>
          <w:numId w:val="3"/>
        </w:numPr>
        <w:rPr>
          <w:sz w:val="18"/>
        </w:rPr>
      </w:pPr>
      <w:r w:rsidRPr="00D95B2F">
        <w:rPr>
          <w:sz w:val="18"/>
        </w:rPr>
        <w:t xml:space="preserve">Herrero </w:t>
      </w:r>
      <w:proofErr w:type="spellStart"/>
      <w:r w:rsidRPr="00D95B2F">
        <w:rPr>
          <w:sz w:val="18"/>
        </w:rPr>
        <w:t>M et</w:t>
      </w:r>
      <w:proofErr w:type="spellEnd"/>
      <w:r w:rsidRPr="00D95B2F">
        <w:rPr>
          <w:sz w:val="18"/>
        </w:rPr>
        <w:t>. al</w:t>
      </w:r>
      <w:r w:rsidR="005973B9" w:rsidRPr="00D95B2F">
        <w:rPr>
          <w:sz w:val="18"/>
        </w:rPr>
        <w:t xml:space="preserve"> (2005</w:t>
      </w:r>
      <w:r>
        <w:rPr>
          <w:sz w:val="18"/>
        </w:rPr>
        <w:t xml:space="preserve">) </w:t>
      </w:r>
      <w:r w:rsidRPr="00D95B2F">
        <w:rPr>
          <w:sz w:val="18"/>
        </w:rPr>
        <w:t>New possibilities for the valorization of olive oil by-products</w:t>
      </w:r>
      <w:r w:rsidR="005973B9" w:rsidRPr="00D95B2F">
        <w:rPr>
          <w:sz w:val="18"/>
        </w:rPr>
        <w:t xml:space="preserve">. </w:t>
      </w:r>
      <w:r w:rsidRPr="00D95B2F">
        <w:rPr>
          <w:sz w:val="18"/>
        </w:rPr>
        <w:t>Journal of Chromatography A 1218(42):7511-20</w:t>
      </w:r>
      <w:r>
        <w:rPr>
          <w:sz w:val="18"/>
        </w:rPr>
        <w:t>.</w:t>
      </w:r>
    </w:p>
    <w:p w:rsidR="00D95B2F" w:rsidRPr="00D95B2F" w:rsidRDefault="00D95B2F" w:rsidP="00D95B2F">
      <w:pPr>
        <w:pStyle w:val="ListParagraph"/>
        <w:numPr>
          <w:ilvl w:val="0"/>
          <w:numId w:val="3"/>
        </w:numPr>
        <w:rPr>
          <w:sz w:val="18"/>
        </w:rPr>
      </w:pPr>
      <w:proofErr w:type="spellStart"/>
      <w:r w:rsidRPr="00D95B2F">
        <w:rPr>
          <w:sz w:val="18"/>
        </w:rPr>
        <w:t>Albahari</w:t>
      </w:r>
      <w:proofErr w:type="spellEnd"/>
      <w:r w:rsidRPr="00D95B2F">
        <w:rPr>
          <w:sz w:val="18"/>
        </w:rPr>
        <w:t xml:space="preserve"> et. al (2018) Characterization of olive pomace extract obtained by cyclodextrin-enhanced pulsed ultrasound assisted extraction. LWT- Food Science and Technology 92</w:t>
      </w:r>
      <w:r>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425B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7C60E2" w:rsidP="00404E5B">
      <w:pPr>
        <w:spacing w:before="92"/>
        <w:ind w:right="4234"/>
        <w:rPr>
          <w:rFonts w:ascii="Arial"/>
        </w:rPr>
      </w:pPr>
      <w:r>
        <w:rPr>
          <w:noProof/>
        </w:rPr>
        <w:t xml:space="preserve">   </w:t>
      </w:r>
      <w:r w:rsidR="008756E6">
        <w:rPr>
          <w:noProof/>
          <w:lang w:val="en-IN" w:eastAsia="en-IN"/>
        </w:rPr>
        <w:drawing>
          <wp:inline distT="0" distB="0" distL="0" distR="0" wp14:anchorId="1B650C0E" wp14:editId="0E8C3C7F">
            <wp:extent cx="561660" cy="623168"/>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1660" cy="623168"/>
                    </a:xfrm>
                    <a:prstGeom prst="rect">
                      <a:avLst/>
                    </a:prstGeom>
                    <a:noFill/>
                    <a:ln>
                      <a:noFill/>
                    </a:ln>
                  </pic:spPr>
                </pic:pic>
              </a:graphicData>
            </a:graphic>
          </wp:inline>
        </w:drawing>
      </w:r>
      <w:r>
        <w:rPr>
          <w:noProof/>
        </w:rPr>
        <w:t xml:space="preserve"> </w:t>
      </w:r>
      <w:r w:rsidR="00D95B2F">
        <w:rPr>
          <w:rFonts w:ascii="Arial"/>
          <w:color w:val="BF5A14"/>
        </w:rPr>
        <w:t>Biography</w:t>
      </w:r>
    </w:p>
    <w:p w:rsidR="00AE3E37" w:rsidRDefault="009115E3" w:rsidP="009115E3">
      <w:pPr>
        <w:spacing w:before="41" w:line="154" w:lineRule="exact"/>
        <w:ind w:left="213" w:right="231"/>
        <w:jc w:val="both"/>
        <w:rPr>
          <w:rFonts w:ascii="Arial"/>
          <w:sz w:val="14"/>
        </w:rPr>
      </w:pPr>
      <w:r w:rsidRPr="009115E3">
        <w:rPr>
          <w:rFonts w:ascii="Arial"/>
          <w:sz w:val="14"/>
        </w:rPr>
        <w:t>Kristina Radi</w:t>
      </w:r>
      <w:r w:rsidRPr="009115E3">
        <w:rPr>
          <w:rFonts w:ascii="Arial"/>
          <w:sz w:val="14"/>
        </w:rPr>
        <w:t>ć</w:t>
      </w:r>
      <w:r w:rsidRPr="009115E3">
        <w:rPr>
          <w:rFonts w:ascii="Arial"/>
          <w:sz w:val="14"/>
        </w:rPr>
        <w:t xml:space="preserve"> currently works at the Department of Food Chemistry at the Faculty of Pharmacy and Biochemistry, University of Zagreb. Kristina does research in Phytochemistry, Biochemistry, and Cell Biology. </w:t>
      </w:r>
      <w:r>
        <w:rPr>
          <w:rFonts w:ascii="Arial"/>
          <w:sz w:val="14"/>
        </w:rPr>
        <w:t>She is a collaborator at the</w:t>
      </w:r>
      <w:bookmarkStart w:id="0" w:name="_GoBack"/>
      <w:bookmarkEnd w:id="0"/>
      <w:r w:rsidRPr="009115E3">
        <w:rPr>
          <w:rFonts w:ascii="Arial"/>
          <w:sz w:val="14"/>
        </w:rPr>
        <w:t xml:space="preserve"> project </w:t>
      </w:r>
      <w:r>
        <w:rPr>
          <w:rFonts w:ascii="Arial"/>
          <w:sz w:val="14"/>
        </w:rPr>
        <w:t>named</w:t>
      </w:r>
      <w:r w:rsidRPr="009115E3">
        <w:rPr>
          <w:rFonts w:ascii="Arial"/>
          <w:sz w:val="14"/>
        </w:rPr>
        <w:t xml:space="preserve"> 'Valorization of olive waste in sustainable food innovation (</w:t>
      </w:r>
      <w:proofErr w:type="spellStart"/>
      <w:r w:rsidRPr="009115E3">
        <w:rPr>
          <w:rFonts w:ascii="Arial"/>
          <w:sz w:val="14"/>
        </w:rPr>
        <w:t>NutriOliWa</w:t>
      </w:r>
      <w:proofErr w:type="spellEnd"/>
      <w:r w:rsidRPr="009115E3">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D95B2F" w:rsidRPr="00836825">
          <w:rPr>
            <w:rStyle w:val="Hyperlink"/>
            <w:rFonts w:ascii="Arial"/>
            <w:sz w:val="14"/>
          </w:rPr>
          <w:t>kradic@pharma.hr</w:t>
        </w:r>
      </w:hyperlink>
      <w:r w:rsidR="00D95B2F">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259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9115E3" w:rsidRDefault="00A9710C" w:rsidP="009115E3">
      <w:pPr>
        <w:spacing w:before="39"/>
        <w:ind w:left="100"/>
        <w:rPr>
          <w:rFonts w:ascii="Minion Pro"/>
          <w:b/>
          <w:sz w:val="20"/>
        </w:rPr>
        <w:sectPr w:rsidR="00AE3E37" w:rsidRPr="009115E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A60" w:rsidRDefault="00895A60">
      <w:r>
        <w:separator/>
      </w:r>
    </w:p>
  </w:endnote>
  <w:endnote w:type="continuationSeparator" w:id="0">
    <w:p w:rsidR="00895A60" w:rsidRDefault="0089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A60" w:rsidRDefault="00895A60">
      <w:r>
        <w:separator/>
      </w:r>
    </w:p>
  </w:footnote>
  <w:footnote w:type="continuationSeparator" w:id="0">
    <w:p w:rsidR="00895A60" w:rsidRDefault="00895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19B3"/>
    <w:rsid w:val="000E2911"/>
    <w:rsid w:val="001263DF"/>
    <w:rsid w:val="00275CB6"/>
    <w:rsid w:val="002765A3"/>
    <w:rsid w:val="00292ED9"/>
    <w:rsid w:val="00404E5B"/>
    <w:rsid w:val="00414F7B"/>
    <w:rsid w:val="004355DC"/>
    <w:rsid w:val="004422C3"/>
    <w:rsid w:val="004749B4"/>
    <w:rsid w:val="00494130"/>
    <w:rsid w:val="004F3523"/>
    <w:rsid w:val="004F56FC"/>
    <w:rsid w:val="005867C2"/>
    <w:rsid w:val="005973B9"/>
    <w:rsid w:val="005B3A56"/>
    <w:rsid w:val="006060CE"/>
    <w:rsid w:val="0063497F"/>
    <w:rsid w:val="007C60E2"/>
    <w:rsid w:val="008149A4"/>
    <w:rsid w:val="00873DF0"/>
    <w:rsid w:val="00875604"/>
    <w:rsid w:val="008756E6"/>
    <w:rsid w:val="00895A60"/>
    <w:rsid w:val="008A472F"/>
    <w:rsid w:val="008E0711"/>
    <w:rsid w:val="009115E3"/>
    <w:rsid w:val="00973ED0"/>
    <w:rsid w:val="009B2D44"/>
    <w:rsid w:val="00A07E82"/>
    <w:rsid w:val="00A327D5"/>
    <w:rsid w:val="00A9710C"/>
    <w:rsid w:val="00AE3E37"/>
    <w:rsid w:val="00B21A57"/>
    <w:rsid w:val="00B74C11"/>
    <w:rsid w:val="00C33602"/>
    <w:rsid w:val="00CD6F55"/>
    <w:rsid w:val="00D95B2F"/>
    <w:rsid w:val="00DE3104"/>
    <w:rsid w:val="00E641C8"/>
    <w:rsid w:val="00EF47A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5CC3F"/>
  <w15:docId w15:val="{09F2DA90-DAF2-43B3-9445-C65D551D6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95B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7257">
      <w:bodyDiv w:val="1"/>
      <w:marLeft w:val="0"/>
      <w:marRight w:val="0"/>
      <w:marTop w:val="0"/>
      <w:marBottom w:val="0"/>
      <w:divBdr>
        <w:top w:val="none" w:sz="0" w:space="0" w:color="auto"/>
        <w:left w:val="none" w:sz="0" w:space="0" w:color="auto"/>
        <w:bottom w:val="none" w:sz="0" w:space="0" w:color="auto"/>
        <w:right w:val="none" w:sz="0" w:space="0" w:color="auto"/>
      </w:divBdr>
    </w:div>
    <w:div w:id="1020406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552644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537941">
      <w:bodyDiv w:val="1"/>
      <w:marLeft w:val="0"/>
      <w:marRight w:val="0"/>
      <w:marTop w:val="0"/>
      <w:marBottom w:val="0"/>
      <w:divBdr>
        <w:top w:val="none" w:sz="0" w:space="0" w:color="auto"/>
        <w:left w:val="none" w:sz="0" w:space="0" w:color="auto"/>
        <w:bottom w:val="none" w:sz="0" w:space="0" w:color="auto"/>
        <w:right w:val="none" w:sz="0" w:space="0" w:color="auto"/>
      </w:divBdr>
    </w:div>
    <w:div w:id="1535999335">
      <w:bodyDiv w:val="1"/>
      <w:marLeft w:val="0"/>
      <w:marRight w:val="0"/>
      <w:marTop w:val="0"/>
      <w:marBottom w:val="0"/>
      <w:divBdr>
        <w:top w:val="none" w:sz="0" w:space="0" w:color="auto"/>
        <w:left w:val="none" w:sz="0" w:space="0" w:color="auto"/>
        <w:bottom w:val="none" w:sz="0" w:space="0" w:color="auto"/>
        <w:right w:val="none" w:sz="0" w:space="0" w:color="auto"/>
      </w:divBdr>
    </w:div>
    <w:div w:id="1542861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radic@pharma.h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598</Words>
  <Characters>3410</Characters>
  <Application>Microsoft Office Word</Application>
  <DocSecurity>0</DocSecurity>
  <Lines>28</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Kristina Radić</cp:lastModifiedBy>
  <cp:revision>4</cp:revision>
  <dcterms:created xsi:type="dcterms:W3CDTF">2018-08-27T08:25:00Z</dcterms:created>
  <dcterms:modified xsi:type="dcterms:W3CDTF">2018-08-27T08:41:00Z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