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2B79C2" w:rsidRDefault="002B79C2" w:rsidP="002B79C2">
      <w:pPr>
        <w:pStyle w:val="21"/>
        <w:tabs>
          <w:tab w:val="left" w:pos="1148"/>
        </w:tabs>
        <w:spacing w:before="0" w:after="0" w:line="240" w:lineRule="auto"/>
        <w:jc w:val="left"/>
        <w:outlineLvl w:val="0"/>
        <w:rPr>
          <w:rFonts w:ascii="Times New Roman" w:hAnsi="Times New Roman" w:cs="Times New Roman"/>
          <w:color w:val="auto"/>
          <w:sz w:val="24"/>
          <w:szCs w:val="24"/>
        </w:rPr>
      </w:pPr>
      <w:bookmarkStart w:id="0" w:name="OLE_LINK17"/>
      <w:bookmarkStart w:id="1" w:name="OLE_LINK6"/>
      <w:r w:rsidRPr="002B79C2">
        <w:rPr>
          <w:color w:val="337AB7"/>
        </w:rPr>
        <w:t xml:space="preserve">Effects of </w:t>
      </w:r>
      <w:bookmarkStart w:id="2" w:name="_Hlk483511344"/>
      <w:r w:rsidRPr="002B79C2">
        <w:rPr>
          <w:color w:val="337AB7"/>
        </w:rPr>
        <w:t>chitosan oligosaccharides</w:t>
      </w:r>
      <w:bookmarkEnd w:id="2"/>
      <w:r w:rsidRPr="002B79C2">
        <w:rPr>
          <w:color w:val="337AB7"/>
        </w:rPr>
        <w:t xml:space="preserve"> on </w:t>
      </w:r>
      <w:bookmarkEnd w:id="0"/>
      <w:r w:rsidRPr="002B79C2">
        <w:rPr>
          <w:color w:val="337AB7"/>
        </w:rPr>
        <w:t xml:space="preserve">microbiota composition </w:t>
      </w:r>
      <w:r w:rsidRPr="002B79C2">
        <w:rPr>
          <w:rFonts w:hint="eastAsia"/>
          <w:color w:val="337AB7"/>
        </w:rPr>
        <w:t>of</w:t>
      </w:r>
      <w:r w:rsidRPr="002B79C2">
        <w:rPr>
          <w:color w:val="337AB7"/>
        </w:rPr>
        <w:t xml:space="preserve"> </w:t>
      </w:r>
      <w:bookmarkStart w:id="3" w:name="OLE_LINK25"/>
      <w:r w:rsidRPr="002B79C2">
        <w:rPr>
          <w:color w:val="337AB7"/>
        </w:rPr>
        <w:t>silver carp</w:t>
      </w:r>
      <w:bookmarkEnd w:id="3"/>
      <w:r w:rsidRPr="002B79C2">
        <w:rPr>
          <w:color w:val="337AB7"/>
        </w:rPr>
        <w:t xml:space="preserve"> (</w:t>
      </w:r>
      <w:proofErr w:type="spellStart"/>
      <w:r w:rsidRPr="002B79C2">
        <w:rPr>
          <w:i/>
          <w:color w:val="337AB7"/>
        </w:rPr>
        <w:t>Hypophthalmichthys</w:t>
      </w:r>
      <w:proofErr w:type="spellEnd"/>
      <w:r w:rsidRPr="002B79C2">
        <w:rPr>
          <w:i/>
          <w:color w:val="337AB7"/>
        </w:rPr>
        <w:t xml:space="preserve"> molitrix</w:t>
      </w:r>
      <w:r w:rsidRPr="002B79C2">
        <w:rPr>
          <w:color w:val="337AB7"/>
        </w:rPr>
        <w:t>) determined by culture-dependent and independent methods during chilled storage</w:t>
      </w:r>
      <w:bookmarkEnd w:id="1"/>
    </w:p>
    <w:p w:rsidR="002B79C2" w:rsidRPr="00AB2DDF" w:rsidRDefault="002B79C2" w:rsidP="00BB2A14">
      <w:pPr>
        <w:pStyle w:val="a3"/>
        <w:spacing w:before="73" w:line="198" w:lineRule="exact"/>
        <w:ind w:left="100" w:right="5987"/>
        <w:jc w:val="both"/>
        <w:rPr>
          <w:rFonts w:ascii="Arial" w:hAnsi="Arial" w:cs="Arial"/>
        </w:rPr>
      </w:pPr>
      <w:proofErr w:type="spellStart"/>
      <w:r w:rsidRPr="00AB2DDF">
        <w:rPr>
          <w:rFonts w:ascii="Arial" w:hAnsi="Arial" w:cs="Arial"/>
        </w:rPr>
        <w:t>Shiliang</w:t>
      </w:r>
      <w:proofErr w:type="spellEnd"/>
      <w:r w:rsidRPr="00AB2DDF">
        <w:rPr>
          <w:rFonts w:ascii="Arial" w:hAnsi="Arial" w:cs="Arial"/>
        </w:rPr>
        <w:t xml:space="preserve"> Jia</w:t>
      </w:r>
      <w:r w:rsidR="00BB2A14" w:rsidRPr="00AB2DDF">
        <w:rPr>
          <w:rFonts w:ascii="Arial" w:hAnsi="Arial" w:cs="Arial"/>
        </w:rPr>
        <w:t>, P</w:t>
      </w:r>
      <w:r w:rsidR="00BB2A14" w:rsidRPr="00AB2DDF">
        <w:rPr>
          <w:rFonts w:ascii="Arial" w:eastAsiaTheme="minorEastAsia" w:hAnsi="Arial" w:cs="Arial"/>
          <w:lang w:eastAsia="zh-CN"/>
        </w:rPr>
        <w:t>h</w:t>
      </w:r>
      <w:r w:rsidR="00BB2A14" w:rsidRPr="00AB2DDF">
        <w:rPr>
          <w:rFonts w:ascii="Arial" w:hAnsi="Arial" w:cs="Arial"/>
        </w:rPr>
        <w:t xml:space="preserve">D, </w:t>
      </w:r>
      <w:bookmarkStart w:id="4" w:name="_GoBack"/>
      <w:r w:rsidR="00BB2A14" w:rsidRPr="00AB2DDF">
        <w:rPr>
          <w:rFonts w:ascii="Arial" w:hAnsi="Arial" w:cs="Arial"/>
        </w:rPr>
        <w:t>College of Food Science and Nutritional Engineering, China Agricultural University, Beijing 100083, China</w:t>
      </w:r>
    </w:p>
    <w:bookmarkEnd w:id="4"/>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Pr="00BB2A14" w:rsidRDefault="00BB2A14" w:rsidP="001D6C08">
      <w:pPr>
        <w:pStyle w:val="3"/>
        <w:spacing w:before="74"/>
        <w:jc w:val="both"/>
        <w:rPr>
          <w:rFonts w:ascii="Tw Cen MT" w:eastAsia="Tw Cen MT" w:hAnsi="Tw Cen MT" w:cs="Tw Cen MT"/>
          <w:b w:val="0"/>
          <w:bCs w:val="0"/>
          <w:sz w:val="18"/>
          <w:szCs w:val="18"/>
        </w:rPr>
      </w:pPr>
      <w:r w:rsidRPr="00BB2A14">
        <w:rPr>
          <w:rFonts w:ascii="Tw Cen MT" w:eastAsia="Tw Cen MT" w:hAnsi="Tw Cen MT" w:cs="Tw Cen MT"/>
          <w:b w:val="0"/>
          <w:bCs w:val="0"/>
          <w:sz w:val="18"/>
          <w:szCs w:val="18"/>
        </w:rPr>
        <w:t xml:space="preserve">Background: Silver carp is an important species for commercial production due to its high nutritional value, rapid growth rate, high yield, low feed demand. However, aquatic products are highly perishable because of microbial growth, which is due to high moisture content, abundant nutrients and higher </w:t>
      </w:r>
      <w:proofErr w:type="spellStart"/>
      <w:r w:rsidRPr="00BB2A14">
        <w:rPr>
          <w:rFonts w:ascii="Tw Cen MT" w:eastAsia="Tw Cen MT" w:hAnsi="Tw Cen MT" w:cs="Tw Cen MT"/>
          <w:b w:val="0"/>
          <w:bCs w:val="0"/>
          <w:sz w:val="18"/>
          <w:szCs w:val="18"/>
        </w:rPr>
        <w:t>pH.</w:t>
      </w:r>
      <w:proofErr w:type="spellEnd"/>
      <w:r w:rsidRPr="00BB2A14">
        <w:rPr>
          <w:rFonts w:ascii="Tw Cen MT" w:eastAsia="Tw Cen MT" w:hAnsi="Tw Cen MT" w:cs="Tw Cen MT"/>
          <w:b w:val="0"/>
          <w:bCs w:val="0"/>
          <w:sz w:val="18"/>
          <w:szCs w:val="18"/>
        </w:rPr>
        <w:t xml:space="preserve"> Previous studies demonstrated that composition of fish microbiota could affect the generation of TVB-N, the degradation of ATP-related compounds, and the production of biogenic amines during storage. Therefore, characterizing the composition of microbiota and evaluating the relationship between changes in quality and composition of microbiota during fish storage are important for quality control. This study evaluated the effects of chitosan oligosaccharides (COS) on the changes in quality and microbiota of silver carp fillets stored at 4 °C. Methods: Sensory scores, ATP-related compounds (inosine monophosphate, hypoxanthine ribonucleotide, hypoxanthine), total volatile basic nitrogen (TVB-N), biogenic amines were evaluated and presence of spoilage microbiota was detected by culture-dependent and culture-independent 16S rRNA gene sequencing methods.</w:t>
      </w:r>
      <w:r w:rsidR="00AB2DDF">
        <w:rPr>
          <w:rFonts w:ascii="Tw Cen MT" w:eastAsia="Tw Cen MT" w:hAnsi="Tw Cen MT" w:cs="Tw Cen MT"/>
          <w:b w:val="0"/>
          <w:bCs w:val="0"/>
          <w:sz w:val="18"/>
          <w:szCs w:val="18"/>
        </w:rPr>
        <w:t xml:space="preserve"> </w:t>
      </w:r>
      <w:r w:rsidRPr="00BB2A14">
        <w:rPr>
          <w:rFonts w:ascii="Tw Cen MT" w:eastAsia="Tw Cen MT" w:hAnsi="Tw Cen MT" w:cs="Tw Cen MT"/>
          <w:b w:val="0"/>
          <w:bCs w:val="0"/>
          <w:sz w:val="18"/>
          <w:szCs w:val="18"/>
        </w:rPr>
        <w:t xml:space="preserve">Results: During storage, COS treated samples maintained good quality, as evidenced by retarding sensory deterioration, inhibiting microbial growth, attenuating the production of TVB-N, putrescine, cadaverine and hypoxanthine, and delaying degradation of inosine monophosphate and hypoxanthine ribonucleotide. Variability in the predominant microbiota in different samples during chilled storage was observed. As storage time increased, the control and 1% (w/v) COS treated samples were rejected by sensory panelists at day 6 and 8, respectively. At the time of sensory rejection, Pseudomonas, followed by </w:t>
      </w:r>
      <w:r w:rsidRPr="00AB2DDF">
        <w:rPr>
          <w:rFonts w:ascii="Tw Cen MT" w:eastAsia="Tw Cen MT" w:hAnsi="Tw Cen MT" w:cs="Tw Cen MT"/>
          <w:b w:val="0"/>
          <w:bCs w:val="0"/>
          <w:i/>
          <w:sz w:val="18"/>
          <w:szCs w:val="18"/>
        </w:rPr>
        <w:t>Aeromonas</w:t>
      </w:r>
      <w:r w:rsidRPr="00BB2A14">
        <w:rPr>
          <w:rFonts w:ascii="Tw Cen MT" w:eastAsia="Tw Cen MT" w:hAnsi="Tw Cen MT" w:cs="Tw Cen MT"/>
          <w:b w:val="0"/>
          <w:bCs w:val="0"/>
          <w:sz w:val="18"/>
          <w:szCs w:val="18"/>
        </w:rPr>
        <w:t xml:space="preserve">, </w:t>
      </w:r>
      <w:r w:rsidRPr="00AB2DDF">
        <w:rPr>
          <w:rFonts w:ascii="Tw Cen MT" w:eastAsia="Tw Cen MT" w:hAnsi="Tw Cen MT" w:cs="Tw Cen MT"/>
          <w:b w:val="0"/>
          <w:bCs w:val="0"/>
          <w:i/>
          <w:sz w:val="18"/>
          <w:szCs w:val="18"/>
        </w:rPr>
        <w:t>Acinetobacter</w:t>
      </w:r>
      <w:r w:rsidRPr="00BB2A14">
        <w:rPr>
          <w:rFonts w:ascii="Tw Cen MT" w:eastAsia="Tw Cen MT" w:hAnsi="Tw Cen MT" w:cs="Tw Cen MT"/>
          <w:b w:val="0"/>
          <w:bCs w:val="0"/>
          <w:sz w:val="18"/>
          <w:szCs w:val="18"/>
        </w:rPr>
        <w:t xml:space="preserve">, and </w:t>
      </w:r>
      <w:proofErr w:type="spellStart"/>
      <w:r w:rsidRPr="00AB2DDF">
        <w:rPr>
          <w:rFonts w:ascii="Tw Cen MT" w:eastAsia="Tw Cen MT" w:hAnsi="Tw Cen MT" w:cs="Tw Cen MT"/>
          <w:b w:val="0"/>
          <w:bCs w:val="0"/>
          <w:i/>
          <w:sz w:val="18"/>
          <w:szCs w:val="18"/>
        </w:rPr>
        <w:t>Shewanella</w:t>
      </w:r>
      <w:proofErr w:type="spellEnd"/>
      <w:r w:rsidRPr="00BB2A14">
        <w:rPr>
          <w:rFonts w:ascii="Tw Cen MT" w:eastAsia="Tw Cen MT" w:hAnsi="Tw Cen MT" w:cs="Tw Cen MT"/>
          <w:b w:val="0"/>
          <w:bCs w:val="0"/>
          <w:sz w:val="18"/>
          <w:szCs w:val="18"/>
        </w:rPr>
        <w:t xml:space="preserve"> became the main spoilers in the control samples. However, COS inhibited the growth of </w:t>
      </w:r>
      <w:r w:rsidRPr="00AB2DDF">
        <w:rPr>
          <w:rFonts w:ascii="Tw Cen MT" w:eastAsia="Tw Cen MT" w:hAnsi="Tw Cen MT" w:cs="Tw Cen MT"/>
          <w:b w:val="0"/>
          <w:bCs w:val="0"/>
          <w:i/>
          <w:sz w:val="18"/>
          <w:szCs w:val="18"/>
        </w:rPr>
        <w:t>Pseudomonas</w:t>
      </w:r>
      <w:r w:rsidRPr="00BB2A14">
        <w:rPr>
          <w:rFonts w:ascii="Tw Cen MT" w:eastAsia="Tw Cen MT" w:hAnsi="Tw Cen MT" w:cs="Tw Cen MT"/>
          <w:b w:val="0"/>
          <w:bCs w:val="0"/>
          <w:sz w:val="18"/>
          <w:szCs w:val="18"/>
        </w:rPr>
        <w:t xml:space="preserve">, </w:t>
      </w:r>
      <w:r w:rsidRPr="00AB2DDF">
        <w:rPr>
          <w:rFonts w:ascii="Tw Cen MT" w:eastAsia="Tw Cen MT" w:hAnsi="Tw Cen MT" w:cs="Tw Cen MT"/>
          <w:b w:val="0"/>
          <w:bCs w:val="0"/>
          <w:i/>
          <w:sz w:val="18"/>
          <w:szCs w:val="18"/>
        </w:rPr>
        <w:t>Aeromonas</w:t>
      </w:r>
      <w:r w:rsidRPr="00BB2A14">
        <w:rPr>
          <w:rFonts w:ascii="Tw Cen MT" w:eastAsia="Tw Cen MT" w:hAnsi="Tw Cen MT" w:cs="Tw Cen MT"/>
          <w:b w:val="0"/>
          <w:bCs w:val="0"/>
          <w:sz w:val="18"/>
          <w:szCs w:val="18"/>
        </w:rPr>
        <w:t xml:space="preserve">, and </w:t>
      </w:r>
      <w:proofErr w:type="spellStart"/>
      <w:r w:rsidRPr="00AB2DDF">
        <w:rPr>
          <w:rFonts w:ascii="Tw Cen MT" w:eastAsia="Tw Cen MT" w:hAnsi="Tw Cen MT" w:cs="Tw Cen MT"/>
          <w:b w:val="0"/>
          <w:bCs w:val="0"/>
          <w:i/>
          <w:sz w:val="18"/>
          <w:szCs w:val="18"/>
        </w:rPr>
        <w:t>Shewanella</w:t>
      </w:r>
      <w:proofErr w:type="spellEnd"/>
      <w:r w:rsidRPr="00BB2A14">
        <w:rPr>
          <w:rFonts w:ascii="Tw Cen MT" w:eastAsia="Tw Cen MT" w:hAnsi="Tw Cen MT" w:cs="Tw Cen MT"/>
          <w:b w:val="0"/>
          <w:bCs w:val="0"/>
          <w:sz w:val="18"/>
          <w:szCs w:val="18"/>
        </w:rPr>
        <w:t xml:space="preserve"> significantly. Consequently, Acinetobacter followed by Pseudomonas became the predominant microbiota in 1% (w/v) COS treated samples. Conclusions: Therefore, COS improved the quality of fillets during chilled storage, which was mainly due to their modulating effects on microbiota.</w:t>
      </w:r>
      <w:r w:rsidR="00A9710C">
        <w:rPr>
          <w:b w:val="0"/>
        </w:rPr>
        <w:br w:type="column"/>
      </w:r>
      <w:r w:rsidR="00A9710C">
        <w:rPr>
          <w:color w:val="BF5A14"/>
        </w:rPr>
        <w:t>Image</w:t>
      </w:r>
    </w:p>
    <w:p w:rsidR="00AE3E37" w:rsidRDefault="00AB2DDF" w:rsidP="00AB2DDF">
      <w:pPr>
        <w:pStyle w:val="a3"/>
        <w:spacing w:before="2"/>
        <w:jc w:val="center"/>
        <w:rPr>
          <w:rFonts w:ascii="Arial"/>
          <w:b/>
          <w:sz w:val="16"/>
        </w:rPr>
      </w:pPr>
      <w:r>
        <w:rPr>
          <w:noProof/>
        </w:rPr>
        <w:drawing>
          <wp:inline distT="0" distB="0" distL="0" distR="0" wp14:anchorId="187E1772">
            <wp:extent cx="2515949" cy="1633207"/>
            <wp:effectExtent l="0" t="0" r="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47011" cy="1653371"/>
                    </a:xfrm>
                    <a:prstGeom prst="rect">
                      <a:avLst/>
                    </a:prstGeom>
                  </pic:spPr>
                </pic:pic>
              </a:graphicData>
            </a:graphic>
          </wp:inline>
        </w:drawing>
      </w:r>
    </w:p>
    <w:p w:rsidR="00AB2DDF" w:rsidRPr="008B15CF" w:rsidRDefault="00AB2DDF" w:rsidP="001D6C08">
      <w:pPr>
        <w:jc w:val="both"/>
        <w:rPr>
          <w:rFonts w:ascii="Times New Roman" w:hAnsi="Times New Roman" w:cs="Times New Roman"/>
          <w:sz w:val="15"/>
          <w:szCs w:val="21"/>
        </w:rPr>
      </w:pPr>
      <w:r w:rsidRPr="008B15CF">
        <w:rPr>
          <w:rFonts w:ascii="Times New Roman" w:hAnsi="Times New Roman" w:cs="Times New Roman"/>
          <w:b/>
          <w:sz w:val="15"/>
          <w:szCs w:val="21"/>
        </w:rPr>
        <w:t>Fig. 1.</w:t>
      </w:r>
      <w:r w:rsidRPr="008B15CF">
        <w:rPr>
          <w:rFonts w:ascii="Times New Roman" w:hAnsi="Times New Roman" w:cs="Times New Roman"/>
          <w:sz w:val="15"/>
          <w:szCs w:val="21"/>
        </w:rPr>
        <w:t xml:space="preserve"> Relative abundance of the bacteria of microbiota from </w:t>
      </w:r>
      <w:r w:rsidRPr="008B15CF">
        <w:rPr>
          <w:rFonts w:ascii="Times New Roman" w:hAnsi="Times New Roman" w:cs="Times New Roman" w:hint="eastAsia"/>
          <w:sz w:val="15"/>
          <w:szCs w:val="21"/>
        </w:rPr>
        <w:t>c</w:t>
      </w:r>
      <w:r w:rsidRPr="008B15CF">
        <w:rPr>
          <w:rFonts w:ascii="Times New Roman" w:hAnsi="Times New Roman" w:cs="Times New Roman"/>
          <w:sz w:val="15"/>
          <w:szCs w:val="21"/>
        </w:rPr>
        <w:t xml:space="preserve">ontrol and </w:t>
      </w:r>
      <w:r w:rsidRPr="008B15CF">
        <w:rPr>
          <w:rFonts w:ascii="Times New Roman" w:hAnsi="Times New Roman" w:cs="Times New Roman" w:hint="eastAsia"/>
          <w:sz w:val="15"/>
          <w:szCs w:val="21"/>
        </w:rPr>
        <w:t>COS</w:t>
      </w:r>
      <w:r w:rsidRPr="008B15CF">
        <w:rPr>
          <w:rFonts w:ascii="Times New Roman" w:hAnsi="Times New Roman" w:cs="Times New Roman"/>
          <w:sz w:val="15"/>
          <w:szCs w:val="21"/>
        </w:rPr>
        <w:t xml:space="preserve"> treated</w:t>
      </w:r>
      <w:r w:rsidRPr="008B15CF">
        <w:rPr>
          <w:rFonts w:ascii="Times New Roman" w:hAnsi="Times New Roman" w:cs="Times New Roman" w:hint="eastAsia"/>
          <w:sz w:val="15"/>
          <w:szCs w:val="21"/>
        </w:rPr>
        <w:t xml:space="preserve"> silver</w:t>
      </w:r>
      <w:r w:rsidRPr="008B15CF">
        <w:rPr>
          <w:rFonts w:ascii="Times New Roman" w:hAnsi="Times New Roman" w:cs="Times New Roman"/>
          <w:sz w:val="15"/>
          <w:szCs w:val="21"/>
        </w:rPr>
        <w:t xml:space="preserve"> carp fillets during storage at 4 ± 1 °C.</w:t>
      </w:r>
      <w:r w:rsidRPr="008B15CF">
        <w:rPr>
          <w:sz w:val="15"/>
          <w:szCs w:val="21"/>
        </w:rPr>
        <w:t xml:space="preserve"> </w:t>
      </w:r>
      <w:r w:rsidRPr="008B15CF">
        <w:rPr>
          <w:rFonts w:ascii="Times New Roman" w:hAnsi="Times New Roman" w:cs="Times New Roman"/>
          <w:sz w:val="15"/>
          <w:szCs w:val="21"/>
        </w:rPr>
        <w:t>Only the bacteria whose</w:t>
      </w:r>
      <w:r w:rsidRPr="008B15CF">
        <w:rPr>
          <w:rFonts w:ascii="Times New Roman" w:hAnsi="Times New Roman" w:cs="Times New Roman" w:hint="eastAsia"/>
          <w:sz w:val="15"/>
          <w:szCs w:val="21"/>
        </w:rPr>
        <w:t xml:space="preserve"> </w:t>
      </w:r>
      <w:r w:rsidRPr="008B15CF">
        <w:rPr>
          <w:rFonts w:ascii="Times New Roman" w:hAnsi="Times New Roman" w:cs="Times New Roman"/>
          <w:sz w:val="15"/>
          <w:szCs w:val="21"/>
        </w:rPr>
        <w:t>relative abundances were &gt; 1% at the genus level obtained in this study were specifically indicated. The category “others” denotes genera represented by a</w:t>
      </w:r>
      <w:r w:rsidRPr="008B15CF">
        <w:rPr>
          <w:rFonts w:ascii="Times New Roman" w:hAnsi="Times New Roman" w:cs="Times New Roman" w:hint="eastAsia"/>
          <w:sz w:val="15"/>
          <w:szCs w:val="21"/>
        </w:rPr>
        <w:t xml:space="preserve"> </w:t>
      </w:r>
      <w:r w:rsidRPr="008B15CF">
        <w:rPr>
          <w:rFonts w:ascii="Times New Roman" w:hAnsi="Times New Roman" w:cs="Times New Roman"/>
          <w:sz w:val="15"/>
          <w:szCs w:val="21"/>
        </w:rPr>
        <w:t>proportion &lt; 1%.</w:t>
      </w:r>
      <w:r w:rsidRPr="008B15CF">
        <w:rPr>
          <w:sz w:val="15"/>
        </w:rPr>
        <w:t xml:space="preserve"> </w:t>
      </w:r>
      <w:r w:rsidRPr="008B15CF">
        <w:rPr>
          <w:rFonts w:ascii="Times New Roman" w:hAnsi="Times New Roman" w:cs="Times New Roman"/>
          <w:sz w:val="15"/>
          <w:szCs w:val="21"/>
        </w:rPr>
        <w:t>(control-d0: control samples at day 0; control-d4: control samples at day 4; control-d6: control samples at day 6; COS-d0: 1% COS treated samples at day 0; COS-d6: 1% COS treated samples at day 6; COS-d8: 1% COS treated samples at day 8</w:t>
      </w:r>
      <w:r w:rsidRPr="008B15CF">
        <w:rPr>
          <w:rFonts w:ascii="Times New Roman" w:hAnsi="Times New Roman" w:cs="Times New Roman" w:hint="eastAsia"/>
          <w:sz w:val="15"/>
          <w:szCs w:val="21"/>
        </w:rPr>
        <w:t>.</w:t>
      </w:r>
      <w:r w:rsidRPr="008B15CF">
        <w:rPr>
          <w:rFonts w:ascii="Times New Roman" w:hAnsi="Times New Roman" w:cs="Times New Roman"/>
          <w:sz w:val="15"/>
          <w:szCs w:val="21"/>
        </w:rPr>
        <w:t>)</w:t>
      </w:r>
    </w:p>
    <w:p w:rsidR="005973B9" w:rsidRDefault="005973B9" w:rsidP="005973B9">
      <w:pPr>
        <w:spacing w:line="204" w:lineRule="exact"/>
        <w:rPr>
          <w:rFonts w:ascii="Arial"/>
          <w:b/>
          <w:sz w:val="20"/>
        </w:rPr>
      </w:pPr>
      <w:r>
        <w:rPr>
          <w:rFonts w:ascii="Arial"/>
          <w:b/>
          <w:color w:val="BF5A14"/>
          <w:sz w:val="20"/>
        </w:rPr>
        <w:br/>
        <w:t>Recent Publications (minimum 5)</w:t>
      </w:r>
    </w:p>
    <w:p w:rsidR="00F74403" w:rsidRDefault="001D6C08" w:rsidP="00F74403">
      <w:pPr>
        <w:pStyle w:val="a5"/>
        <w:numPr>
          <w:ilvl w:val="0"/>
          <w:numId w:val="3"/>
        </w:numPr>
        <w:tabs>
          <w:tab w:val="left" w:pos="384"/>
        </w:tabs>
        <w:spacing w:before="0" w:line="216" w:lineRule="exact"/>
        <w:ind w:right="138" w:hanging="283"/>
        <w:rPr>
          <w:sz w:val="15"/>
        </w:rPr>
      </w:pPr>
      <w:proofErr w:type="spellStart"/>
      <w:r w:rsidRPr="001161F4">
        <w:rPr>
          <w:sz w:val="15"/>
        </w:rPr>
        <w:t>Shiliang</w:t>
      </w:r>
      <w:proofErr w:type="spellEnd"/>
      <w:r w:rsidRPr="001161F4">
        <w:rPr>
          <w:sz w:val="15"/>
        </w:rPr>
        <w:t xml:space="preserve"> Jia, Zhan Huang, </w:t>
      </w:r>
      <w:proofErr w:type="spellStart"/>
      <w:r w:rsidRPr="001161F4">
        <w:rPr>
          <w:sz w:val="15"/>
        </w:rPr>
        <w:t>Yutian</w:t>
      </w:r>
      <w:proofErr w:type="spellEnd"/>
      <w:r w:rsidRPr="001161F4">
        <w:rPr>
          <w:sz w:val="15"/>
        </w:rPr>
        <w:t xml:space="preserve"> Lei, et al. (2018). Application of Illumina-</w:t>
      </w:r>
      <w:proofErr w:type="spellStart"/>
      <w:r w:rsidRPr="001161F4">
        <w:rPr>
          <w:sz w:val="15"/>
        </w:rPr>
        <w:t>MiSeq</w:t>
      </w:r>
      <w:proofErr w:type="spellEnd"/>
      <w:r w:rsidRPr="001161F4">
        <w:rPr>
          <w:sz w:val="15"/>
        </w:rPr>
        <w:t xml:space="preserve"> high throughput sequencing and culture-dependent techniques for the identification of microbiota of silver carp (</w:t>
      </w:r>
      <w:proofErr w:type="spellStart"/>
      <w:r w:rsidRPr="001161F4">
        <w:rPr>
          <w:i/>
          <w:sz w:val="15"/>
        </w:rPr>
        <w:t>Hypophthalmichthys</w:t>
      </w:r>
      <w:proofErr w:type="spellEnd"/>
      <w:r w:rsidRPr="001161F4">
        <w:rPr>
          <w:i/>
          <w:sz w:val="15"/>
        </w:rPr>
        <w:t xml:space="preserve"> molitrix</w:t>
      </w:r>
      <w:r w:rsidRPr="001161F4">
        <w:rPr>
          <w:sz w:val="15"/>
        </w:rPr>
        <w:t>) treated by tea polyphenols. Food Microbiology, 76, 52-61.</w:t>
      </w:r>
    </w:p>
    <w:p w:rsidR="001D6C08" w:rsidRPr="00F74403" w:rsidRDefault="00F74403" w:rsidP="00F74403">
      <w:pPr>
        <w:pStyle w:val="a5"/>
        <w:numPr>
          <w:ilvl w:val="0"/>
          <w:numId w:val="3"/>
        </w:numPr>
        <w:tabs>
          <w:tab w:val="left" w:pos="384"/>
        </w:tabs>
        <w:spacing w:before="0" w:line="216" w:lineRule="exact"/>
        <w:ind w:right="138" w:hanging="283"/>
        <w:rPr>
          <w:sz w:val="15"/>
        </w:rPr>
      </w:pPr>
      <w:proofErr w:type="spellStart"/>
      <w:r w:rsidRPr="00F74403">
        <w:rPr>
          <w:sz w:val="15"/>
        </w:rPr>
        <w:t>Xiaochang</w:t>
      </w:r>
      <w:proofErr w:type="spellEnd"/>
      <w:r w:rsidRPr="00F74403">
        <w:rPr>
          <w:sz w:val="15"/>
        </w:rPr>
        <w:t xml:space="preserve"> Liu, Zhan Huang, </w:t>
      </w:r>
      <w:proofErr w:type="spellStart"/>
      <w:r w:rsidRPr="00F74403">
        <w:rPr>
          <w:sz w:val="15"/>
        </w:rPr>
        <w:t>Shiliang</w:t>
      </w:r>
      <w:proofErr w:type="spellEnd"/>
      <w:r w:rsidRPr="00F74403">
        <w:rPr>
          <w:sz w:val="15"/>
        </w:rPr>
        <w:t xml:space="preserve"> Jia, et al. (2018). The roles of bacteria in the biochemical changes of chill-stored bighead carp (</w:t>
      </w:r>
      <w:proofErr w:type="spellStart"/>
      <w:r w:rsidRPr="00F74403">
        <w:rPr>
          <w:i/>
          <w:sz w:val="15"/>
        </w:rPr>
        <w:t>Aristichthys</w:t>
      </w:r>
      <w:proofErr w:type="spellEnd"/>
      <w:r w:rsidRPr="00F74403">
        <w:rPr>
          <w:i/>
          <w:sz w:val="15"/>
        </w:rPr>
        <w:t xml:space="preserve"> </w:t>
      </w:r>
      <w:proofErr w:type="spellStart"/>
      <w:r w:rsidRPr="00F74403">
        <w:rPr>
          <w:i/>
          <w:sz w:val="15"/>
        </w:rPr>
        <w:t>nobilis</w:t>
      </w:r>
      <w:proofErr w:type="spellEnd"/>
      <w:r w:rsidRPr="00F74403">
        <w:rPr>
          <w:sz w:val="15"/>
        </w:rPr>
        <w:t>): Proteins degradation, biogenic amines accumulation, volatiles production, and nucleotides catabolism. Food Chemistry</w:t>
      </w:r>
      <w:r w:rsidRPr="00F74403">
        <w:rPr>
          <w:rFonts w:hint="eastAsia"/>
          <w:sz w:val="15"/>
        </w:rPr>
        <w:t>,</w:t>
      </w:r>
      <w:r w:rsidRPr="00F74403">
        <w:rPr>
          <w:sz w:val="15"/>
        </w:rPr>
        <w:t xml:space="preserve"> 255</w:t>
      </w:r>
      <w:r w:rsidRPr="00F74403">
        <w:rPr>
          <w:rFonts w:hint="eastAsia"/>
          <w:sz w:val="15"/>
        </w:rPr>
        <w:t>,</w:t>
      </w:r>
      <w:r w:rsidRPr="00F74403">
        <w:rPr>
          <w:sz w:val="15"/>
        </w:rPr>
        <w:t xml:space="preserve"> 174</w:t>
      </w:r>
      <w:r w:rsidRPr="00F74403">
        <w:rPr>
          <w:rFonts w:hint="eastAsia"/>
          <w:sz w:val="15"/>
        </w:rPr>
        <w:t>-</w:t>
      </w:r>
      <w:r w:rsidRPr="00F74403">
        <w:rPr>
          <w:sz w:val="15"/>
        </w:rPr>
        <w:t>181.</w:t>
      </w:r>
    </w:p>
    <w:p w:rsidR="001D6C08" w:rsidRPr="001161F4" w:rsidRDefault="001D6C08" w:rsidP="001161F4">
      <w:pPr>
        <w:pStyle w:val="a5"/>
        <w:numPr>
          <w:ilvl w:val="0"/>
          <w:numId w:val="3"/>
        </w:numPr>
        <w:tabs>
          <w:tab w:val="left" w:pos="384"/>
        </w:tabs>
        <w:spacing w:before="0" w:line="216" w:lineRule="exact"/>
        <w:ind w:right="138" w:hanging="283"/>
        <w:rPr>
          <w:sz w:val="15"/>
        </w:rPr>
      </w:pPr>
      <w:proofErr w:type="spellStart"/>
      <w:r w:rsidRPr="001161F4">
        <w:rPr>
          <w:sz w:val="15"/>
        </w:rPr>
        <w:t>Shiliang</w:t>
      </w:r>
      <w:proofErr w:type="spellEnd"/>
      <w:r w:rsidRPr="001161F4">
        <w:rPr>
          <w:sz w:val="15"/>
        </w:rPr>
        <w:t xml:space="preserve"> Jia, Zheng Lu, </w:t>
      </w:r>
      <w:proofErr w:type="spellStart"/>
      <w:r w:rsidRPr="001161F4">
        <w:rPr>
          <w:sz w:val="15"/>
        </w:rPr>
        <w:t>Zhaolan</w:t>
      </w:r>
      <w:proofErr w:type="spellEnd"/>
      <w:r w:rsidRPr="001161F4">
        <w:rPr>
          <w:sz w:val="15"/>
        </w:rPr>
        <w:t xml:space="preserve"> Gao, et al. (2016). </w:t>
      </w:r>
      <w:bookmarkStart w:id="5" w:name="_Hlk497855055"/>
      <w:r w:rsidRPr="001161F4">
        <w:rPr>
          <w:sz w:val="15"/>
        </w:rPr>
        <w:t>Chitosan oligosaccharides alleviate cognitive deficits in an amyloid-β1–42-induced rat model of Alzheimer's disease</w:t>
      </w:r>
      <w:bookmarkEnd w:id="5"/>
      <w:r w:rsidRPr="001161F4">
        <w:rPr>
          <w:sz w:val="15"/>
        </w:rPr>
        <w:t>. International Journal of Biological Macromolecules, 83, 416-425.</w:t>
      </w:r>
    </w:p>
    <w:p w:rsidR="001D6C08" w:rsidRDefault="001D6C08" w:rsidP="001161F4">
      <w:pPr>
        <w:pStyle w:val="a5"/>
        <w:numPr>
          <w:ilvl w:val="0"/>
          <w:numId w:val="3"/>
        </w:numPr>
        <w:tabs>
          <w:tab w:val="left" w:pos="384"/>
        </w:tabs>
        <w:spacing w:before="0" w:line="216" w:lineRule="exact"/>
        <w:ind w:right="138" w:hanging="283"/>
        <w:rPr>
          <w:sz w:val="15"/>
        </w:rPr>
      </w:pPr>
      <w:proofErr w:type="spellStart"/>
      <w:r w:rsidRPr="001161F4">
        <w:rPr>
          <w:sz w:val="15"/>
        </w:rPr>
        <w:t>Shiliang</w:t>
      </w:r>
      <w:proofErr w:type="spellEnd"/>
      <w:r w:rsidRPr="001161F4">
        <w:rPr>
          <w:sz w:val="15"/>
        </w:rPr>
        <w:t xml:space="preserve"> Jia, </w:t>
      </w:r>
      <w:proofErr w:type="spellStart"/>
      <w:r w:rsidRPr="001161F4">
        <w:rPr>
          <w:sz w:val="15"/>
        </w:rPr>
        <w:t>Xueling</w:t>
      </w:r>
      <w:proofErr w:type="spellEnd"/>
      <w:r w:rsidRPr="001161F4">
        <w:rPr>
          <w:sz w:val="15"/>
        </w:rPr>
        <w:t xml:space="preserve"> Wu, </w:t>
      </w:r>
      <w:proofErr w:type="spellStart"/>
      <w:r w:rsidRPr="001161F4">
        <w:rPr>
          <w:sz w:val="15"/>
        </w:rPr>
        <w:t>XiaoXiao</w:t>
      </w:r>
      <w:proofErr w:type="spellEnd"/>
      <w:r w:rsidRPr="001161F4">
        <w:rPr>
          <w:sz w:val="15"/>
        </w:rPr>
        <w:t xml:space="preserve"> Li, et al. (2016). Neuroprotective effects of </w:t>
      </w:r>
      <w:proofErr w:type="spellStart"/>
      <w:r w:rsidRPr="001161F4">
        <w:rPr>
          <w:sz w:val="15"/>
        </w:rPr>
        <w:t>liquiritin</w:t>
      </w:r>
      <w:proofErr w:type="spellEnd"/>
      <w:r w:rsidRPr="001161F4">
        <w:rPr>
          <w:sz w:val="15"/>
        </w:rPr>
        <w:t xml:space="preserve"> on cognitive deficits induced by soluble amyloid-β1–42 oligomers injected into the hippocampus. Journal of Asian natural products research, 18(12), 1186-1199.</w:t>
      </w:r>
    </w:p>
    <w:p w:rsidR="001D6C08" w:rsidRPr="001161F4" w:rsidRDefault="001D6C08" w:rsidP="001161F4">
      <w:pPr>
        <w:pStyle w:val="a5"/>
        <w:numPr>
          <w:ilvl w:val="0"/>
          <w:numId w:val="3"/>
        </w:numPr>
        <w:tabs>
          <w:tab w:val="left" w:pos="384"/>
        </w:tabs>
        <w:spacing w:before="0" w:line="216" w:lineRule="exact"/>
        <w:ind w:right="138" w:hanging="283"/>
        <w:rPr>
          <w:sz w:val="15"/>
        </w:rPr>
      </w:pPr>
      <w:bookmarkStart w:id="6" w:name="_Hlk497934786"/>
      <w:proofErr w:type="spellStart"/>
      <w:r w:rsidRPr="001161F4">
        <w:rPr>
          <w:sz w:val="15"/>
        </w:rPr>
        <w:t>Dapeng</w:t>
      </w:r>
      <w:proofErr w:type="spellEnd"/>
      <w:r w:rsidRPr="001161F4">
        <w:rPr>
          <w:sz w:val="15"/>
        </w:rPr>
        <w:t xml:space="preserve"> Li, </w:t>
      </w:r>
      <w:proofErr w:type="spellStart"/>
      <w:r w:rsidRPr="001161F4">
        <w:rPr>
          <w:sz w:val="15"/>
        </w:rPr>
        <w:t>Shiliang</w:t>
      </w:r>
      <w:proofErr w:type="spellEnd"/>
      <w:r w:rsidRPr="001161F4">
        <w:rPr>
          <w:sz w:val="15"/>
        </w:rPr>
        <w:t xml:space="preserve"> Jia, </w:t>
      </w:r>
      <w:proofErr w:type="spellStart"/>
      <w:r w:rsidRPr="001161F4">
        <w:rPr>
          <w:sz w:val="15"/>
        </w:rPr>
        <w:t>Longteng</w:t>
      </w:r>
      <w:proofErr w:type="spellEnd"/>
      <w:r w:rsidRPr="001161F4">
        <w:rPr>
          <w:sz w:val="15"/>
        </w:rPr>
        <w:t xml:space="preserve"> Zhang, et al. (2017). Effect of using a high voltage electrostatic field on microbial communities, degradation of adenosine triphosphate, and water loss when thawing lightly-salted, frozen common carp (</w:t>
      </w:r>
      <w:r w:rsidRPr="001161F4">
        <w:rPr>
          <w:i/>
          <w:sz w:val="15"/>
        </w:rPr>
        <w:t xml:space="preserve">Cyprinus </w:t>
      </w:r>
      <w:proofErr w:type="spellStart"/>
      <w:r w:rsidRPr="001161F4">
        <w:rPr>
          <w:i/>
          <w:sz w:val="15"/>
        </w:rPr>
        <w:t>carpio</w:t>
      </w:r>
      <w:proofErr w:type="spellEnd"/>
      <w:r w:rsidRPr="001161F4">
        <w:rPr>
          <w:sz w:val="15"/>
        </w:rPr>
        <w:t>). Journal of Food Engineering, 212, 226-233.</w:t>
      </w:r>
      <w:bookmarkEnd w:id="6"/>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27021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1D6C08" w:rsidRDefault="008756E6" w:rsidP="00404E5B">
      <w:pPr>
        <w:spacing w:before="92"/>
        <w:ind w:right="4234"/>
        <w:rPr>
          <w:noProof/>
        </w:rPr>
      </w:pPr>
      <w:r>
        <w:rPr>
          <w:noProof/>
        </w:rPr>
        <w:t xml:space="preserve">          </w:t>
      </w:r>
      <w:r>
        <w:rPr>
          <w:noProof/>
          <w:lang w:val="en-IN" w:eastAsia="en-IN"/>
        </w:rPr>
        <w:drawing>
          <wp:inline distT="0" distB="0" distL="0" distR="0" wp14:anchorId="1B650C0E" wp14:editId="0E8C3C7F">
            <wp:extent cx="437548" cy="625069"/>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37548" cy="625069"/>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8B15CF" w:rsidRPr="008B15CF" w:rsidRDefault="00F74403" w:rsidP="008B15CF">
      <w:pPr>
        <w:spacing w:before="41" w:line="154" w:lineRule="exact"/>
        <w:ind w:left="213" w:right="231"/>
        <w:jc w:val="both"/>
        <w:rPr>
          <w:rFonts w:ascii="Arial"/>
          <w:sz w:val="14"/>
        </w:rPr>
      </w:pPr>
      <w:proofErr w:type="spellStart"/>
      <w:r w:rsidRPr="008B15CF">
        <w:rPr>
          <w:rFonts w:ascii="Arial" w:hint="eastAsia"/>
          <w:sz w:val="14"/>
        </w:rPr>
        <w:t>Sh</w:t>
      </w:r>
      <w:r w:rsidRPr="008B15CF">
        <w:rPr>
          <w:rFonts w:ascii="Arial"/>
          <w:sz w:val="14"/>
        </w:rPr>
        <w:t>iliang</w:t>
      </w:r>
      <w:proofErr w:type="spellEnd"/>
      <w:r w:rsidRPr="008B15CF">
        <w:rPr>
          <w:rFonts w:ascii="Arial"/>
          <w:sz w:val="14"/>
        </w:rPr>
        <w:t xml:space="preserve"> Jia </w:t>
      </w:r>
      <w:r>
        <w:rPr>
          <w:rFonts w:ascii="Arial"/>
          <w:sz w:val="14"/>
        </w:rPr>
        <w:t>has h</w:t>
      </w:r>
      <w:r>
        <w:rPr>
          <w:rFonts w:ascii="Arial"/>
          <w:sz w:val="14"/>
        </w:rPr>
        <w:t>is</w:t>
      </w:r>
      <w:r>
        <w:rPr>
          <w:rFonts w:ascii="Arial"/>
          <w:sz w:val="14"/>
        </w:rPr>
        <w:t xml:space="preserve"> expertise in</w:t>
      </w:r>
      <w:r>
        <w:rPr>
          <w:rFonts w:ascii="Arial"/>
          <w:sz w:val="14"/>
        </w:rPr>
        <w:t xml:space="preserve"> the processing and storage of aquatic products.</w:t>
      </w:r>
      <w:r w:rsidR="008B15CF">
        <w:rPr>
          <w:rFonts w:ascii="Arial"/>
          <w:sz w:val="14"/>
        </w:rPr>
        <w:t xml:space="preserve"> And he has c</w:t>
      </w:r>
      <w:r w:rsidR="008B15CF" w:rsidRPr="008B15CF">
        <w:rPr>
          <w:rFonts w:ascii="Arial"/>
          <w:sz w:val="14"/>
        </w:rPr>
        <w:t>haracteriz</w:t>
      </w:r>
      <w:r w:rsidR="008B15CF">
        <w:rPr>
          <w:rFonts w:ascii="Arial"/>
          <w:sz w:val="14"/>
        </w:rPr>
        <w:t>ed</w:t>
      </w:r>
      <w:r w:rsidR="008B15CF" w:rsidRPr="008B15CF">
        <w:rPr>
          <w:rFonts w:ascii="Arial"/>
          <w:sz w:val="14"/>
        </w:rPr>
        <w:t xml:space="preserve"> the microbial community in silver carp fillets stored at 4 </w:t>
      </w:r>
      <w:r w:rsidR="008B15CF" w:rsidRPr="008B15CF">
        <w:rPr>
          <w:rFonts w:ascii="Arial"/>
          <w:sz w:val="14"/>
        </w:rPr>
        <w:t>°</w:t>
      </w:r>
      <w:r w:rsidR="008B15CF" w:rsidRPr="008B15CF">
        <w:rPr>
          <w:rFonts w:ascii="Arial"/>
          <w:sz w:val="14"/>
        </w:rPr>
        <w:t xml:space="preserve">C and </w:t>
      </w:r>
      <w:r w:rsidR="008B15CF">
        <w:rPr>
          <w:rFonts w:ascii="Arial"/>
          <w:sz w:val="14"/>
        </w:rPr>
        <w:t>e</w:t>
      </w:r>
      <w:r w:rsidR="008B15CF" w:rsidRPr="008B15CF">
        <w:rPr>
          <w:rFonts w:ascii="Arial"/>
          <w:sz w:val="14"/>
        </w:rPr>
        <w:t>valuat</w:t>
      </w:r>
      <w:r w:rsidR="008B15CF">
        <w:rPr>
          <w:rFonts w:ascii="Arial"/>
          <w:sz w:val="14"/>
        </w:rPr>
        <w:t>ed</w:t>
      </w:r>
      <w:r w:rsidR="008B15CF" w:rsidRPr="008B15CF">
        <w:rPr>
          <w:rFonts w:ascii="Arial"/>
          <w:sz w:val="14"/>
        </w:rPr>
        <w:t xml:space="preserve"> the spoilage potential of bacteria isolated from silver carp fillet</w:t>
      </w:r>
      <w:r w:rsidR="008B15CF">
        <w:rPr>
          <w:rFonts w:ascii="Arial"/>
          <w:sz w:val="14"/>
        </w:rPr>
        <w:t xml:space="preserve">s. Recently, his research mainly focuses on </w:t>
      </w:r>
      <w:r w:rsidR="008B15CF" w:rsidRPr="008B15CF">
        <w:rPr>
          <w:rFonts w:ascii="Arial"/>
          <w:sz w:val="14"/>
        </w:rPr>
        <w:t>Interactions of the specific spoilage organisms</w:t>
      </w:r>
      <w:r w:rsidR="008B15CF">
        <w:rPr>
          <w:rFonts w:ascii="Arial"/>
          <w:sz w:val="14"/>
        </w:rPr>
        <w:t xml:space="preserve"> ,especially, </w:t>
      </w:r>
      <w:r w:rsidR="008B15CF" w:rsidRPr="008B15CF">
        <w:rPr>
          <w:rFonts w:ascii="Arial"/>
          <w:sz w:val="14"/>
        </w:rPr>
        <w:t>the quorum sensing system in specific spoilage organisms</w:t>
      </w:r>
      <w:r w:rsidR="008B15CF">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F74403" w:rsidRPr="002E6F6E">
          <w:rPr>
            <w:rStyle w:val="ac"/>
            <w:rFonts w:ascii="Arial"/>
            <w:sz w:val="14"/>
          </w:rPr>
          <w:t>jiashiliang2011@163.com</w:t>
        </w:r>
      </w:hyperlink>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1EF10"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F74403" w:rsidRDefault="00A9710C" w:rsidP="008B15CF">
      <w:pPr>
        <w:spacing w:before="39"/>
        <w:ind w:left="100"/>
        <w:rPr>
          <w:rFonts w:ascii="Minion Pro"/>
          <w:b/>
          <w:sz w:val="20"/>
        </w:rPr>
      </w:pPr>
      <w:r w:rsidRPr="00B21A57">
        <w:rPr>
          <w:rFonts w:ascii="Minion Pro"/>
          <w:b/>
          <w:sz w:val="20"/>
        </w:rPr>
        <w:t>Notes/Comments:</w:t>
      </w:r>
    </w:p>
    <w:p w:rsidR="00F74403" w:rsidRPr="00F74403" w:rsidRDefault="00F74403" w:rsidP="00F74403">
      <w:pPr>
        <w:spacing w:before="39"/>
        <w:rPr>
          <w:rFonts w:ascii="Minion Pro"/>
          <w:b/>
          <w:sz w:val="20"/>
        </w:rPr>
        <w:sectPr w:rsidR="00F74403" w:rsidRPr="00F74403">
          <w:type w:val="continuous"/>
          <w:pgSz w:w="11910" w:h="16840"/>
          <w:pgMar w:top="1740" w:right="600" w:bottom="840" w:left="620" w:header="720" w:footer="720" w:gutter="0"/>
          <w:cols w:space="720"/>
        </w:sectPr>
      </w:pPr>
    </w:p>
    <w:p w:rsidR="00AE3E37" w:rsidRDefault="00AE3E37" w:rsidP="00F74403">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3E06" w:rsidRDefault="006B3E06">
      <w:r>
        <w:separator/>
      </w:r>
    </w:p>
  </w:endnote>
  <w:endnote w:type="continuationSeparator" w:id="0">
    <w:p w:rsidR="006B3E06" w:rsidRDefault="006B3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Tw Cen MT">
    <w:altName w:val="Arial"/>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altName w:val="Adobe Gothic Std B"/>
    <w:panose1 w:val="020B0604020202020204"/>
    <w:charset w:val="80"/>
    <w:family w:val="swiss"/>
    <w:pitch w:val="variable"/>
    <w:sig w:usb0="F7FFAFFF" w:usb1="E9DFFFFF" w:usb2="0000003F" w:usb3="00000000" w:csb0="003F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3E06" w:rsidRDefault="006B3E06">
      <w:r>
        <w:separator/>
      </w:r>
    </w:p>
  </w:footnote>
  <w:footnote w:type="continuationSeparator" w:id="0">
    <w:p w:rsidR="006B3E06" w:rsidRDefault="006B3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B32415"/>
    <w:multiLevelType w:val="hybridMultilevel"/>
    <w:tmpl w:val="092E77D6"/>
    <w:lvl w:ilvl="0" w:tplc="04090001">
      <w:start w:val="1"/>
      <w:numFmt w:val="bullet"/>
      <w:lvlText w:val=""/>
      <w:lvlJc w:val="left"/>
      <w:pPr>
        <w:tabs>
          <w:tab w:val="num" w:pos="420"/>
        </w:tabs>
        <w:ind w:left="420" w:hanging="420"/>
      </w:pPr>
      <w:rPr>
        <w:rFonts w:ascii="Wingdings" w:hAnsi="Wingdings" w:hint="default"/>
      </w:rPr>
    </w:lvl>
    <w:lvl w:ilvl="1" w:tplc="65388948">
      <w:numFmt w:val="bullet"/>
      <w:lvlText w:val="•"/>
      <w:lvlJc w:val="left"/>
      <w:pPr>
        <w:ind w:left="780" w:hanging="360"/>
      </w:pPr>
      <w:rPr>
        <w:rFonts w:ascii="宋体" w:eastAsia="宋体" w:hAnsi="宋体" w:cs="Times New Roman" w:hint="eastAsia"/>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19B3"/>
    <w:rsid w:val="000E2911"/>
    <w:rsid w:val="001161F4"/>
    <w:rsid w:val="001263DF"/>
    <w:rsid w:val="001D6C08"/>
    <w:rsid w:val="00292ED9"/>
    <w:rsid w:val="002B79C2"/>
    <w:rsid w:val="00404E5B"/>
    <w:rsid w:val="00414F7B"/>
    <w:rsid w:val="004355DC"/>
    <w:rsid w:val="004749B4"/>
    <w:rsid w:val="00494130"/>
    <w:rsid w:val="004F3523"/>
    <w:rsid w:val="004F56FC"/>
    <w:rsid w:val="005310E3"/>
    <w:rsid w:val="005973B9"/>
    <w:rsid w:val="005B3A56"/>
    <w:rsid w:val="006060CE"/>
    <w:rsid w:val="0063497F"/>
    <w:rsid w:val="006B3E06"/>
    <w:rsid w:val="00873DF0"/>
    <w:rsid w:val="00875604"/>
    <w:rsid w:val="008756E6"/>
    <w:rsid w:val="008A472F"/>
    <w:rsid w:val="008B15CF"/>
    <w:rsid w:val="009570AA"/>
    <w:rsid w:val="009B2D44"/>
    <w:rsid w:val="00A07E82"/>
    <w:rsid w:val="00A9710C"/>
    <w:rsid w:val="00AB2DDF"/>
    <w:rsid w:val="00AE3E37"/>
    <w:rsid w:val="00B21A57"/>
    <w:rsid w:val="00BB2A14"/>
    <w:rsid w:val="00C33602"/>
    <w:rsid w:val="00CD6F55"/>
    <w:rsid w:val="00D73F61"/>
    <w:rsid w:val="00DE3104"/>
    <w:rsid w:val="00F72EEA"/>
    <w:rsid w:val="00F74403"/>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3E4E53"/>
  <w15:docId w15:val="{917ABA61-BE0B-42FF-9030-C363D9678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paragraph" w:customStyle="1" w:styleId="21">
    <w:name w:val="标题 21"/>
    <w:next w:val="a"/>
    <w:rsid w:val="002B79C2"/>
    <w:pPr>
      <w:keepNext/>
      <w:keepLines/>
      <w:pBdr>
        <w:top w:val="nil"/>
        <w:left w:val="nil"/>
        <w:bottom w:val="nil"/>
        <w:right w:val="nil"/>
        <w:between w:val="nil"/>
        <w:bar w:val="nil"/>
      </w:pBdr>
      <w:spacing w:before="260" w:after="260" w:line="416" w:lineRule="auto"/>
      <w:jc w:val="both"/>
      <w:outlineLvl w:val="1"/>
    </w:pPr>
    <w:rPr>
      <w:rFonts w:ascii="Cambria" w:eastAsia="宋体" w:hAnsi="Arial Unicode MS" w:cs="Arial Unicode MS"/>
      <w:b/>
      <w:bCs/>
      <w:color w:val="000000"/>
      <w:sz w:val="32"/>
      <w:szCs w:val="32"/>
      <w:u w:color="000000"/>
      <w:bdr w:val="nil"/>
      <w:lang w:eastAsia="zh-CN"/>
    </w:rPr>
  </w:style>
  <w:style w:type="character" w:styleId="ad">
    <w:name w:val="Unresolved Mention"/>
    <w:basedOn w:val="a0"/>
    <w:uiPriority w:val="99"/>
    <w:semiHidden/>
    <w:unhideWhenUsed/>
    <w:rsid w:val="00F744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iashiliang2011@163.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1135564317@qq.com</cp:lastModifiedBy>
  <cp:revision>2</cp:revision>
  <dcterms:created xsi:type="dcterms:W3CDTF">2018-06-20T08:56:00Z</dcterms:created>
  <dcterms:modified xsi:type="dcterms:W3CDTF">2018-06-20T08:56:00Z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