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B7A" w:rsidRPr="002C5B7A" w:rsidRDefault="007F3A22" w:rsidP="002C5B7A">
      <w:pPr>
        <w:pStyle w:val="NoSpacing"/>
        <w:rPr>
          <w:rFonts w:ascii="Minion Pro" w:hAnsi="Minion Pro"/>
          <w:sz w:val="36"/>
          <w:szCs w:val="36"/>
        </w:rPr>
      </w:pPr>
      <w:r w:rsidRPr="002C5B7A">
        <w:rPr>
          <w:rFonts w:ascii="Minion Pro" w:hAnsi="Minion Pro"/>
          <w:sz w:val="36"/>
          <w:szCs w:val="36"/>
        </w:rPr>
        <w:t xml:space="preserve">            </w:t>
      </w:r>
      <w:r w:rsidR="002C5B7A" w:rsidRPr="002C5B7A">
        <w:rPr>
          <w:rFonts w:ascii="Minion Pro" w:hAnsi="Minion Pro"/>
          <w:sz w:val="36"/>
          <w:szCs w:val="36"/>
        </w:rPr>
        <w:t xml:space="preserve">   </w:t>
      </w:r>
      <w:r w:rsidRPr="002C5B7A">
        <w:rPr>
          <w:rFonts w:ascii="Minion Pro" w:hAnsi="Minion Pro"/>
          <w:sz w:val="36"/>
          <w:szCs w:val="36"/>
        </w:rPr>
        <w:t xml:space="preserve">      </w:t>
      </w:r>
      <w:r w:rsidR="002C5B7A">
        <w:rPr>
          <w:rFonts w:ascii="Minion Pro" w:hAnsi="Minion Pro"/>
          <w:sz w:val="36"/>
          <w:szCs w:val="36"/>
        </w:rPr>
        <w:t xml:space="preserve">   </w:t>
      </w:r>
      <w:r w:rsidRPr="002C5B7A">
        <w:rPr>
          <w:rFonts w:ascii="Minion Pro" w:hAnsi="Minion Pro"/>
          <w:sz w:val="36"/>
          <w:szCs w:val="36"/>
        </w:rPr>
        <w:t xml:space="preserve"> </w:t>
      </w:r>
      <w:r w:rsidR="007C46D8" w:rsidRPr="002C5B7A">
        <w:rPr>
          <w:rFonts w:ascii="Minion Pro" w:hAnsi="Minion Pro"/>
          <w:sz w:val="36"/>
          <w:szCs w:val="36"/>
        </w:rPr>
        <w:t xml:space="preserve">Immunity &amp; </w:t>
      </w:r>
      <w:r w:rsidR="00D36EE4" w:rsidRPr="002C5B7A">
        <w:rPr>
          <w:rFonts w:ascii="Minion Pro" w:hAnsi="Minion Pro"/>
          <w:sz w:val="36"/>
          <w:szCs w:val="36"/>
        </w:rPr>
        <w:t>Gut Microbiome:</w:t>
      </w:r>
    </w:p>
    <w:p w:rsidR="00D36EE4" w:rsidRPr="002C5B7A" w:rsidRDefault="002C5B7A" w:rsidP="002C5B7A">
      <w:pPr>
        <w:pStyle w:val="NoSpacing"/>
        <w:rPr>
          <w:rFonts w:ascii="Minion Pro" w:hAnsi="Minion Pro"/>
          <w:sz w:val="36"/>
          <w:szCs w:val="36"/>
        </w:rPr>
      </w:pPr>
      <w:r w:rsidRPr="002C5B7A">
        <w:rPr>
          <w:rFonts w:ascii="Minion Pro" w:hAnsi="Minion Pro"/>
          <w:sz w:val="36"/>
          <w:szCs w:val="36"/>
        </w:rPr>
        <w:t xml:space="preserve">       </w:t>
      </w:r>
      <w:r>
        <w:rPr>
          <w:rFonts w:ascii="Minion Pro" w:hAnsi="Minion Pro"/>
          <w:sz w:val="36"/>
          <w:szCs w:val="36"/>
        </w:rPr>
        <w:t xml:space="preserve"> </w:t>
      </w:r>
      <w:r w:rsidRPr="002C5B7A">
        <w:rPr>
          <w:rFonts w:ascii="Minion Pro" w:hAnsi="Minion Pro"/>
          <w:sz w:val="36"/>
          <w:szCs w:val="36"/>
        </w:rPr>
        <w:t xml:space="preserve"> </w:t>
      </w:r>
      <w:r w:rsidR="007F3A22" w:rsidRPr="002C5B7A">
        <w:rPr>
          <w:rFonts w:ascii="Minion Pro" w:hAnsi="Minion Pro"/>
          <w:sz w:val="36"/>
          <w:szCs w:val="36"/>
        </w:rPr>
        <w:t xml:space="preserve">Probiotic &amp; </w:t>
      </w:r>
      <w:r w:rsidR="00D36EE4" w:rsidRPr="002C5B7A">
        <w:rPr>
          <w:rFonts w:ascii="Minion Pro" w:hAnsi="Minion Pro"/>
          <w:sz w:val="36"/>
          <w:szCs w:val="36"/>
        </w:rPr>
        <w:t xml:space="preserve">Prebiotic as Colonic Biofertilizers </w:t>
      </w:r>
    </w:p>
    <w:p w:rsidR="002C5B7A" w:rsidRPr="002C5B7A" w:rsidRDefault="002C5B7A" w:rsidP="002C5B7A">
      <w:pPr>
        <w:pStyle w:val="NoSpacing"/>
        <w:rPr>
          <w:rFonts w:ascii="Minion Pro" w:hAnsi="Minion Pro"/>
          <w:sz w:val="36"/>
          <w:szCs w:val="36"/>
        </w:rPr>
      </w:pPr>
    </w:p>
    <w:p w:rsidR="00D36EE4" w:rsidRPr="00E718CC" w:rsidRDefault="00D36EE4" w:rsidP="002C5B7A">
      <w:pPr>
        <w:pStyle w:val="NoSpacing"/>
        <w:rPr>
          <w:rFonts w:ascii="Arial" w:hAnsi="Arial"/>
          <w:sz w:val="18"/>
          <w:szCs w:val="18"/>
          <w:vertAlign w:val="superscript"/>
        </w:rPr>
      </w:pPr>
      <w:r w:rsidRPr="001716E7">
        <w:rPr>
          <w:rFonts w:ascii="Arial" w:hAnsi="Arial"/>
          <w:sz w:val="18"/>
          <w:szCs w:val="18"/>
        </w:rPr>
        <w:t>Keerthi Thalakattil Raghavan</w:t>
      </w:r>
      <w:r w:rsidRPr="001716E7">
        <w:rPr>
          <w:rFonts w:ascii="Arial" w:hAnsi="Arial"/>
          <w:sz w:val="18"/>
          <w:szCs w:val="18"/>
          <w:vertAlign w:val="superscript"/>
        </w:rPr>
        <w:t>1</w:t>
      </w:r>
      <w:r w:rsidRPr="001716E7">
        <w:rPr>
          <w:rFonts w:ascii="Arial" w:hAnsi="Arial"/>
          <w:sz w:val="18"/>
          <w:szCs w:val="18"/>
        </w:rPr>
        <w:t>*</w:t>
      </w:r>
      <w:r w:rsidRPr="001716E7">
        <w:rPr>
          <w:rFonts w:ascii="Arial" w:hAnsi="Arial"/>
          <w:sz w:val="18"/>
          <w:szCs w:val="18"/>
          <w:vertAlign w:val="superscript"/>
        </w:rPr>
        <w:t xml:space="preserve"> </w:t>
      </w:r>
      <w:r w:rsidRPr="001716E7">
        <w:rPr>
          <w:rFonts w:ascii="Arial" w:hAnsi="Arial"/>
          <w:sz w:val="18"/>
          <w:szCs w:val="18"/>
        </w:rPr>
        <w:t>,Honey Chandran C</w:t>
      </w:r>
      <w:r w:rsidRPr="001716E7">
        <w:rPr>
          <w:rFonts w:ascii="Arial" w:hAnsi="Arial"/>
          <w:sz w:val="18"/>
          <w:szCs w:val="18"/>
          <w:vertAlign w:val="superscript"/>
        </w:rPr>
        <w:t>1</w:t>
      </w:r>
      <w:r w:rsidRPr="001716E7">
        <w:rPr>
          <w:rFonts w:ascii="Arial" w:hAnsi="Arial"/>
          <w:sz w:val="18"/>
          <w:szCs w:val="18"/>
        </w:rPr>
        <w:t>, Jeena</w:t>
      </w:r>
      <w:r>
        <w:rPr>
          <w:rFonts w:ascii="Arial" w:hAnsi="Arial"/>
          <w:sz w:val="18"/>
          <w:szCs w:val="18"/>
          <w:vertAlign w:val="superscript"/>
        </w:rPr>
        <w:t xml:space="preserve"> </w:t>
      </w:r>
      <w:r>
        <w:rPr>
          <w:rFonts w:ascii="Arial" w:hAnsi="Arial"/>
          <w:sz w:val="18"/>
          <w:szCs w:val="18"/>
        </w:rPr>
        <w:t>Susan</w:t>
      </w:r>
      <w:r>
        <w:rPr>
          <w:rFonts w:ascii="Arial" w:hAnsi="Arial"/>
          <w:sz w:val="18"/>
          <w:szCs w:val="18"/>
          <w:vertAlign w:val="superscript"/>
        </w:rPr>
        <w:t>1</w:t>
      </w:r>
      <w:r w:rsidR="00E718CC">
        <w:rPr>
          <w:rFonts w:ascii="Arial" w:hAnsi="Arial"/>
          <w:sz w:val="18"/>
          <w:szCs w:val="18"/>
          <w:vertAlign w:val="superscript"/>
        </w:rPr>
        <w:t xml:space="preserve"> </w:t>
      </w:r>
      <w:r w:rsidR="00E718CC">
        <w:rPr>
          <w:rFonts w:ascii="Arial" w:hAnsi="Arial"/>
          <w:sz w:val="18"/>
          <w:szCs w:val="18"/>
        </w:rPr>
        <w:t>,Rakhi Narayanan</w:t>
      </w:r>
      <w:r w:rsidR="00E718CC">
        <w:rPr>
          <w:rFonts w:ascii="Arial" w:hAnsi="Arial"/>
          <w:sz w:val="18"/>
          <w:szCs w:val="18"/>
          <w:vertAlign w:val="superscript"/>
        </w:rPr>
        <w:t>1</w:t>
      </w:r>
    </w:p>
    <w:p w:rsidR="00D36EE4" w:rsidRPr="001716E7" w:rsidRDefault="00D36EE4" w:rsidP="002C5B7A">
      <w:pPr>
        <w:pStyle w:val="NoSpacing"/>
        <w:rPr>
          <w:rFonts w:ascii="Arial" w:hAnsi="Arial"/>
          <w:sz w:val="18"/>
          <w:szCs w:val="18"/>
          <w:lang w:val="en-US" w:bidi="ar-SA"/>
        </w:rPr>
      </w:pPr>
      <w:r w:rsidRPr="001716E7">
        <w:rPr>
          <w:rFonts w:ascii="Arial" w:hAnsi="Arial"/>
          <w:sz w:val="18"/>
          <w:szCs w:val="18"/>
          <w:vertAlign w:val="superscript"/>
          <w:lang w:val="en-US" w:bidi="ar-SA"/>
        </w:rPr>
        <w:t>1,</w:t>
      </w:r>
      <w:r w:rsidRPr="001716E7">
        <w:rPr>
          <w:rFonts w:ascii="Arial" w:hAnsi="Arial"/>
          <w:sz w:val="18"/>
          <w:szCs w:val="18"/>
          <w:lang w:val="en-US" w:bidi="ar-SA"/>
        </w:rPr>
        <w:t>School of Biosciences, Mahatma Gandhi University, Kottayam, Kerala, India -686 560</w:t>
      </w:r>
    </w:p>
    <w:p w:rsidR="00D36EE4" w:rsidRDefault="00D36EE4" w:rsidP="002C5B7A">
      <w:pPr>
        <w:pStyle w:val="NoSpacing"/>
        <w:rPr>
          <w:rFonts w:ascii="Arial" w:hAnsi="Arial"/>
          <w:sz w:val="18"/>
          <w:szCs w:val="18"/>
          <w:lang w:val="en-US" w:bidi="ar-SA"/>
        </w:rPr>
      </w:pPr>
      <w:r w:rsidRPr="001716E7">
        <w:rPr>
          <w:rFonts w:ascii="Arial" w:hAnsi="Arial"/>
          <w:sz w:val="18"/>
          <w:szCs w:val="18"/>
          <w:lang w:val="en-US" w:bidi="ar-SA"/>
        </w:rPr>
        <w:t>*Corresponding Author -, mobile +919497655293</w:t>
      </w:r>
    </w:p>
    <w:p w:rsidR="001E6D67" w:rsidRPr="00FF05CC" w:rsidRDefault="00824F05" w:rsidP="00D36EE4">
      <w:pPr>
        <w:spacing w:line="240" w:lineRule="auto"/>
        <w:rPr>
          <w:rFonts w:ascii="Tw Cen MT" w:hAnsi="Tw Cen MT" w:cs="Times New Roman"/>
          <w:sz w:val="24"/>
          <w:szCs w:val="24"/>
          <w:lang w:val="en-US" w:bidi="ar-SA"/>
        </w:rPr>
      </w:pPr>
      <w:r w:rsidRPr="00FF05CC">
        <w:rPr>
          <w:rFonts w:ascii="Tw Cen MT" w:hAnsi="Tw Cen MT" w:cs="Times New Roman"/>
          <w:sz w:val="24"/>
          <w:szCs w:val="24"/>
          <w:lang w:val="en-US" w:bidi="ar-SA"/>
        </w:rPr>
        <w:t>Abstract</w:t>
      </w:r>
    </w:p>
    <w:p w:rsidR="008D2C48" w:rsidRDefault="008D2C48" w:rsidP="005162B5">
      <w:pPr>
        <w:autoSpaceDE w:val="0"/>
        <w:autoSpaceDN w:val="0"/>
        <w:adjustRightInd w:val="0"/>
        <w:spacing w:after="0" w:line="240" w:lineRule="auto"/>
        <w:jc w:val="both"/>
        <w:rPr>
          <w:rStyle w:val="A6"/>
          <w:rFonts w:ascii="Times New Roman" w:hAnsi="Times New Roman" w:cs="Times New Roman"/>
          <w:sz w:val="22"/>
          <w:szCs w:val="22"/>
        </w:rPr>
        <w:sectPr w:rsidR="008D2C48">
          <w:pgSz w:w="11906" w:h="16838"/>
          <w:pgMar w:top="1440" w:right="1440" w:bottom="1440" w:left="1440" w:header="708" w:footer="708" w:gutter="0"/>
          <w:cols w:space="708"/>
          <w:docGrid w:linePitch="360"/>
        </w:sectPr>
      </w:pPr>
    </w:p>
    <w:p w:rsidR="005162B5" w:rsidRPr="002C5B7A" w:rsidRDefault="003D1DFF" w:rsidP="005162B5">
      <w:pPr>
        <w:autoSpaceDE w:val="0"/>
        <w:autoSpaceDN w:val="0"/>
        <w:adjustRightInd w:val="0"/>
        <w:spacing w:after="0" w:line="240" w:lineRule="auto"/>
        <w:jc w:val="both"/>
        <w:rPr>
          <w:rFonts w:ascii="Tw Cen MT" w:hAnsi="Tw Cen MT" w:cs="Times New Roman"/>
          <w:sz w:val="18"/>
          <w:szCs w:val="18"/>
        </w:rPr>
      </w:pPr>
      <w:r w:rsidRPr="002C5B7A">
        <w:rPr>
          <w:rStyle w:val="A6"/>
          <w:rFonts w:ascii="Tw Cen MT" w:hAnsi="Tw Cen MT" w:cs="Times New Roman"/>
          <w:sz w:val="18"/>
          <w:szCs w:val="18"/>
        </w:rPr>
        <w:lastRenderedPageBreak/>
        <w:t xml:space="preserve">The GI tract is </w:t>
      </w:r>
      <w:r w:rsidR="001E6D67" w:rsidRPr="002C5B7A">
        <w:rPr>
          <w:rStyle w:val="A6"/>
          <w:rFonts w:ascii="Tw Cen MT" w:hAnsi="Tw Cen MT" w:cs="Times New Roman"/>
          <w:sz w:val="18"/>
          <w:szCs w:val="18"/>
        </w:rPr>
        <w:t>described as the body’s largest immune organ</w:t>
      </w:r>
      <w:r w:rsidRPr="002C5B7A">
        <w:rPr>
          <w:rStyle w:val="A6"/>
          <w:rFonts w:ascii="Tw Cen MT" w:hAnsi="Tw Cen MT" w:cs="Times New Roman"/>
          <w:sz w:val="18"/>
          <w:szCs w:val="18"/>
        </w:rPr>
        <w:t>.The intestinal microbiota has a vital role in the body’s defence system.</w:t>
      </w:r>
      <w:r w:rsidR="002D10E5" w:rsidRPr="002C5B7A">
        <w:rPr>
          <w:rFonts w:ascii="Tw Cen MT" w:hAnsi="Tw Cen MT" w:cs="Times New Roman"/>
          <w:sz w:val="18"/>
          <w:szCs w:val="18"/>
        </w:rPr>
        <w:t>The synergy of the probiotic and prebiotic components provides  a stable and relatively uniform gut microbiome</w:t>
      </w:r>
      <w:r w:rsidR="002C3847" w:rsidRPr="002C5B7A">
        <w:rPr>
          <w:rStyle w:val="A6"/>
          <w:rFonts w:ascii="Tw Cen MT" w:hAnsi="Tw Cen MT" w:cs="Times New Roman"/>
          <w:sz w:val="18"/>
          <w:szCs w:val="18"/>
        </w:rPr>
        <w:t>.</w:t>
      </w:r>
      <w:r w:rsidR="00AE2B0A" w:rsidRPr="002C5B7A">
        <w:rPr>
          <w:rFonts w:ascii="Tw Cen MT" w:hAnsi="Tw Cen MT" w:cs="Times New Roman"/>
          <w:sz w:val="18"/>
          <w:szCs w:val="18"/>
        </w:rPr>
        <w:t xml:space="preserve"> The present study focuses the possibility of development </w:t>
      </w:r>
      <w:r w:rsidR="005162B5" w:rsidRPr="002C5B7A">
        <w:rPr>
          <w:rFonts w:ascii="Tw Cen MT" w:hAnsi="Tw Cen MT" w:cs="Times New Roman"/>
          <w:sz w:val="18"/>
          <w:szCs w:val="18"/>
        </w:rPr>
        <w:t xml:space="preserve">of </w:t>
      </w:r>
      <w:r w:rsidR="00FA3077" w:rsidRPr="002C5B7A">
        <w:rPr>
          <w:rFonts w:ascii="Tw Cen MT" w:hAnsi="Tw Cen MT" w:cs="Times New Roman"/>
          <w:sz w:val="18"/>
          <w:szCs w:val="18"/>
        </w:rPr>
        <w:t xml:space="preserve">nuraceutical using potent </w:t>
      </w:r>
      <w:r w:rsidR="00AE2B0A" w:rsidRPr="002C5B7A">
        <w:rPr>
          <w:rFonts w:ascii="Tw Cen MT" w:hAnsi="Tw Cen MT" w:cs="Times New Roman"/>
          <w:sz w:val="18"/>
          <w:szCs w:val="18"/>
        </w:rPr>
        <w:t>probioti</w:t>
      </w:r>
      <w:r w:rsidR="005162B5" w:rsidRPr="002C5B7A">
        <w:rPr>
          <w:rFonts w:ascii="Tw Cen MT" w:hAnsi="Tw Cen MT" w:cs="Times New Roman"/>
          <w:sz w:val="18"/>
          <w:szCs w:val="18"/>
        </w:rPr>
        <w:t>c  LAB strain</w:t>
      </w:r>
      <w:r w:rsidR="00E718CC" w:rsidRPr="002C5B7A">
        <w:rPr>
          <w:rFonts w:ascii="Tw Cen MT" w:hAnsi="Tw Cen MT" w:cs="Times New Roman"/>
          <w:sz w:val="18"/>
          <w:szCs w:val="18"/>
        </w:rPr>
        <w:t>s</w:t>
      </w:r>
      <w:r w:rsidR="00AE2B0A" w:rsidRPr="002C5B7A">
        <w:rPr>
          <w:rFonts w:ascii="Tw Cen MT" w:hAnsi="Tw Cen MT" w:cs="Times New Roman"/>
          <w:sz w:val="18"/>
          <w:szCs w:val="18"/>
        </w:rPr>
        <w:t xml:space="preserve"> </w:t>
      </w:r>
      <w:r w:rsidR="00FA3077" w:rsidRPr="002C5B7A">
        <w:rPr>
          <w:rFonts w:ascii="Tw Cen MT" w:hAnsi="Tw Cen MT" w:cs="Times New Roman"/>
          <w:sz w:val="18"/>
          <w:szCs w:val="18"/>
        </w:rPr>
        <w:t xml:space="preserve">isolated &amp; charecterized from different natural sources </w:t>
      </w:r>
      <w:r w:rsidR="00AE2B0A" w:rsidRPr="002C5B7A">
        <w:rPr>
          <w:rFonts w:ascii="Tw Cen MT" w:hAnsi="Tw Cen MT" w:cs="Times New Roman"/>
          <w:sz w:val="18"/>
          <w:szCs w:val="18"/>
        </w:rPr>
        <w:t>&amp; its enrichment by the addition of suitable prebiotics</w:t>
      </w:r>
      <w:r w:rsidR="00AE2B0A" w:rsidRPr="002C5B7A">
        <w:rPr>
          <w:rStyle w:val="A6"/>
          <w:rFonts w:ascii="Tw Cen MT" w:hAnsi="Tw Cen MT" w:cs="Times New Roman"/>
          <w:sz w:val="18"/>
          <w:szCs w:val="18"/>
        </w:rPr>
        <w:t xml:space="preserve"> </w:t>
      </w:r>
      <w:r w:rsidR="00FA3077" w:rsidRPr="002C5B7A">
        <w:rPr>
          <w:rStyle w:val="A6"/>
          <w:rFonts w:ascii="Tw Cen MT" w:hAnsi="Tw Cen MT" w:cs="Times New Roman"/>
          <w:sz w:val="18"/>
          <w:szCs w:val="18"/>
        </w:rPr>
        <w:t xml:space="preserve">such as Honey,Inulin &amp; Accacia gum. </w:t>
      </w:r>
      <w:r w:rsidR="00CC36C8" w:rsidRPr="002C5B7A">
        <w:rPr>
          <w:rFonts w:ascii="Tw Cen MT" w:eastAsia="TimesNewRoman" w:hAnsi="Tw Cen MT" w:cs="Times New Roman"/>
          <w:sz w:val="18"/>
          <w:szCs w:val="18"/>
        </w:rPr>
        <w:t>Honey is a natural source of prebiotic fructose oligosaccaride,Acacia gum is also a natural source of prebiotic</w:t>
      </w:r>
      <w:r w:rsidR="00CC36C8" w:rsidRPr="002C5B7A">
        <w:rPr>
          <w:rFonts w:ascii="Tw Cen MT" w:hAnsi="Tw Cen MT" w:cs="Times New Roman"/>
          <w:sz w:val="18"/>
          <w:szCs w:val="18"/>
        </w:rPr>
        <w:t xml:space="preserve"> rich in arabinose ,rhamnose,and galactose (PRAG), and  Inulin</w:t>
      </w:r>
      <w:r w:rsidR="00CC36C8" w:rsidRPr="002C5B7A">
        <w:rPr>
          <w:rFonts w:ascii="Tw Cen MT" w:hAnsi="Tw Cen MT" w:cs="Times New Roman"/>
          <w:bCs/>
          <w:sz w:val="18"/>
          <w:szCs w:val="18"/>
        </w:rPr>
        <w:t xml:space="preserve"> from sigma</w:t>
      </w:r>
      <w:r w:rsidR="008D2C48" w:rsidRPr="002C5B7A">
        <w:rPr>
          <w:rFonts w:ascii="Tw Cen MT" w:hAnsi="Tw Cen MT" w:cs="Times New Roman"/>
          <w:bCs/>
          <w:sz w:val="18"/>
          <w:szCs w:val="18"/>
        </w:rPr>
        <w:t>.</w:t>
      </w:r>
      <w:r w:rsidR="00CC36C8" w:rsidRPr="002C5B7A">
        <w:rPr>
          <w:rFonts w:ascii="Tw Cen MT" w:hAnsi="Tw Cen MT" w:cs="Times New Roman"/>
          <w:bCs/>
          <w:sz w:val="18"/>
          <w:szCs w:val="18"/>
        </w:rPr>
        <w:t xml:space="preserve">To evaluate the effect of different prebiotics on probiotic, fermented milk samples were prepared by adding honey (5%), Acacia gum (5%) and Inulin(5%) . Bacterial count, acidity and </w:t>
      </w:r>
      <w:r w:rsidR="00CC36C8" w:rsidRPr="002C5B7A">
        <w:rPr>
          <w:rFonts w:ascii="Tw Cen MT" w:hAnsi="Tw Cen MT" w:cs="Times New Roman"/>
          <w:sz w:val="18"/>
          <w:szCs w:val="18"/>
        </w:rPr>
        <w:t xml:space="preserve"> nutritional aspects like protein, fat,  and sugar content </w:t>
      </w:r>
      <w:r w:rsidR="00CC36C8" w:rsidRPr="002C5B7A">
        <w:rPr>
          <w:rFonts w:ascii="Tw Cen MT" w:hAnsi="Tw Cen MT" w:cs="Times New Roman"/>
          <w:bCs/>
          <w:sz w:val="18"/>
          <w:szCs w:val="18"/>
        </w:rPr>
        <w:t xml:space="preserve"> were determined.</w:t>
      </w:r>
      <w:r w:rsidR="00810CCA" w:rsidRPr="002C5B7A">
        <w:rPr>
          <w:rFonts w:ascii="Tw Cen MT" w:hAnsi="Tw Cen MT" w:cs="Times New Roman"/>
          <w:bCs/>
          <w:sz w:val="18"/>
          <w:szCs w:val="18"/>
        </w:rPr>
        <w:t xml:space="preserve"> All the synbiotic combinations exhibited higher functionability compaire to control which contain probiotic only.</w:t>
      </w:r>
      <w:r w:rsidR="00810CCA" w:rsidRPr="002C5B7A">
        <w:rPr>
          <w:rFonts w:ascii="Tw Cen MT" w:hAnsi="Tw Cen MT" w:cs="Times New Roman"/>
          <w:sz w:val="18"/>
          <w:szCs w:val="18"/>
        </w:rPr>
        <w:t xml:space="preserve"> Synbiotic fermented samples, honey exhibited the highest viability,&amp;higher protein content  but Gum Arabic  reduces the sugar and fat content which will be advantageous to diabetics &amp; hypercholerstemic conditions.Both Honey &amp;Gum Arabic exhibited antimicrobial activity towards selected common pathogens.</w:t>
      </w:r>
      <w:r w:rsidR="00596CB5" w:rsidRPr="002C5B7A">
        <w:rPr>
          <w:rFonts w:ascii="Tw Cen MT" w:hAnsi="Tw Cen MT" w:cs="Times New Roman"/>
          <w:i/>
          <w:iCs/>
          <w:sz w:val="18"/>
          <w:szCs w:val="18"/>
        </w:rPr>
        <w:t>Invivo</w:t>
      </w:r>
      <w:r w:rsidR="00596CB5" w:rsidRPr="002C5B7A">
        <w:rPr>
          <w:rFonts w:ascii="Tw Cen MT" w:hAnsi="Tw Cen MT" w:cs="Times New Roman"/>
          <w:sz w:val="18"/>
          <w:szCs w:val="18"/>
        </w:rPr>
        <w:t xml:space="preserve"> study was conducted by selected probiotic &amp; prebiotic Acacia Gum &amp; combination in experimental balb/c Mice during 20 days of oral treatment. Results obtained for colonization, persistence and histopathology indicated a significant level of colonization and no sign of infection. Highest colonization was observed in synbiotic treated group suggesting the role of prebiotic in enhanced growth of probiotic. Unlike with probiotic, Acacia gum</w:t>
      </w:r>
      <w:r w:rsidR="00596CB5" w:rsidRPr="002C5B7A" w:rsidDel="002817CC">
        <w:rPr>
          <w:rFonts w:ascii="Tw Cen MT" w:hAnsi="Tw Cen MT" w:cs="Times New Roman"/>
          <w:sz w:val="18"/>
          <w:szCs w:val="18"/>
        </w:rPr>
        <w:t xml:space="preserve"> </w:t>
      </w:r>
      <w:r w:rsidR="00596CB5" w:rsidRPr="002C5B7A">
        <w:rPr>
          <w:rFonts w:ascii="Tw Cen MT" w:hAnsi="Tw Cen MT" w:cs="Times New Roman"/>
          <w:sz w:val="18"/>
          <w:szCs w:val="18"/>
        </w:rPr>
        <w:t xml:space="preserve">treatment suggested an anti-obesity role,which substantiate the result of </w:t>
      </w:r>
      <w:r w:rsidR="00596CB5" w:rsidRPr="002C5B7A">
        <w:rPr>
          <w:rFonts w:ascii="Tw Cen MT" w:hAnsi="Tw Cen MT" w:cs="Times New Roman"/>
          <w:i/>
          <w:iCs/>
          <w:sz w:val="18"/>
          <w:szCs w:val="18"/>
        </w:rPr>
        <w:t>invitro</w:t>
      </w:r>
      <w:r w:rsidR="00596CB5" w:rsidRPr="002C5B7A">
        <w:rPr>
          <w:rFonts w:ascii="Tw Cen MT" w:hAnsi="Tw Cen MT" w:cs="Times New Roman"/>
          <w:sz w:val="18"/>
          <w:szCs w:val="18"/>
        </w:rPr>
        <w:t xml:space="preserve"> study. </w:t>
      </w:r>
      <w:r w:rsidR="00596CB5" w:rsidRPr="002C5B7A">
        <w:rPr>
          <w:rFonts w:ascii="Tw Cen MT" w:hAnsi="Tw Cen MT" w:cs="Times New Roman"/>
          <w:sz w:val="18"/>
          <w:szCs w:val="18"/>
        </w:rPr>
        <w:lastRenderedPageBreak/>
        <w:t>Levels of serum triglyceride and total cholesterol were within control for the synbiotic treated group. The prebiotic treated group recorded highest levels of Phosphorus and Calcium ions in the serum, indicating impact of ion absorption ability</w:t>
      </w:r>
      <w:r w:rsidR="005162B5" w:rsidRPr="002C5B7A">
        <w:rPr>
          <w:rFonts w:ascii="Tw Cen MT" w:hAnsi="Tw Cen MT" w:cs="Times New Roman"/>
          <w:sz w:val="18"/>
          <w:szCs w:val="18"/>
        </w:rPr>
        <w:t>. Humoral immunity in probiotic alone treated group was marked by increased level of serum IgA, IgM. Synbiotic combination exhibited phagocytic activity 3 times higher than individual effect, and probiotic could equally activate both T cell &amp; B cell in respons</w:t>
      </w:r>
      <w:r w:rsidR="008D2C48" w:rsidRPr="002C5B7A">
        <w:rPr>
          <w:rFonts w:ascii="Tw Cen MT" w:hAnsi="Tw Cen MT" w:cs="Times New Roman"/>
          <w:sz w:val="18"/>
          <w:szCs w:val="18"/>
        </w:rPr>
        <w:t>e to mitogens</w:t>
      </w:r>
      <w:r w:rsidR="005162B5" w:rsidRPr="002C5B7A">
        <w:rPr>
          <w:rFonts w:ascii="Tw Cen MT" w:hAnsi="Tw Cen MT" w:cs="Times New Roman"/>
          <w:sz w:val="18"/>
          <w:szCs w:val="18"/>
        </w:rPr>
        <w:t xml:space="preserve">concanavalin A&amp; lipopolysaccharide. It is a remarkable observation that a probiotic strain can induce both T cell &amp; B cell. </w:t>
      </w:r>
      <w:r w:rsidR="005162B5" w:rsidRPr="002C5B7A">
        <w:rPr>
          <w:rFonts w:ascii="Tw Cen MT" w:hAnsi="Tw Cen MT" w:cs="Times New Roman"/>
          <w:iCs/>
          <w:sz w:val="18"/>
          <w:szCs w:val="18"/>
        </w:rPr>
        <w:t xml:space="preserve">Probiotic </w:t>
      </w:r>
      <w:r w:rsidR="005162B5" w:rsidRPr="002C5B7A">
        <w:rPr>
          <w:rFonts w:ascii="Tw Cen MT" w:hAnsi="Tw Cen MT" w:cs="Times New Roman"/>
          <w:sz w:val="18"/>
          <w:szCs w:val="18"/>
        </w:rPr>
        <w:t xml:space="preserve"> was able to stimulate TNF </w:t>
      </w:r>
      <w:r w:rsidR="005162B5" w:rsidRPr="002C5B7A">
        <w:rPr>
          <w:rFonts w:ascii="Arial" w:hAnsi="Arial" w:cs="Arial"/>
          <w:sz w:val="18"/>
          <w:szCs w:val="18"/>
        </w:rPr>
        <w:t>α</w:t>
      </w:r>
      <w:r w:rsidR="005162B5" w:rsidRPr="002C5B7A">
        <w:rPr>
          <w:rFonts w:ascii="Tw Cen MT" w:hAnsi="Tw Cen MT" w:cs="Times New Roman"/>
          <w:sz w:val="18"/>
          <w:szCs w:val="18"/>
        </w:rPr>
        <w:t xml:space="preserve"> production. Acacia gum down regulated the production, suggesting that it can be recommended as an TNF </w:t>
      </w:r>
      <w:r w:rsidR="005162B5" w:rsidRPr="002C5B7A">
        <w:rPr>
          <w:rFonts w:ascii="Arial" w:hAnsi="Arial" w:cs="Arial"/>
          <w:sz w:val="18"/>
          <w:szCs w:val="18"/>
        </w:rPr>
        <w:t>α</w:t>
      </w:r>
      <w:r w:rsidR="005162B5" w:rsidRPr="002C5B7A">
        <w:rPr>
          <w:rFonts w:ascii="Tw Cen MT" w:hAnsi="Tw Cen MT" w:cs="Times New Roman"/>
          <w:sz w:val="18"/>
          <w:szCs w:val="18"/>
        </w:rPr>
        <w:t xml:space="preserve"> inhibitor/regulator. Both treated liver cells have antioxidant property and synbiotic group rendered more activity. Probiotic &amp; prebiotics have different mechanisms to prevent colon cancer. Prominent reduction was observed in the level of faecal colon cancer marker enzymes </w:t>
      </w:r>
      <w:r w:rsidR="005162B5" w:rsidRPr="002C5B7A">
        <w:rPr>
          <w:rFonts w:ascii="Arial" w:hAnsi="Arial" w:cs="Arial"/>
          <w:sz w:val="18"/>
          <w:szCs w:val="18"/>
        </w:rPr>
        <w:t>β</w:t>
      </w:r>
      <w:r w:rsidR="005162B5" w:rsidRPr="002C5B7A">
        <w:rPr>
          <w:rFonts w:ascii="Tw Cen MT" w:hAnsi="Tw Cen MT" w:cs="Times New Roman"/>
          <w:sz w:val="18"/>
          <w:szCs w:val="18"/>
        </w:rPr>
        <w:t xml:space="preserve">-glycosidase &amp; </w:t>
      </w:r>
      <w:r w:rsidR="005162B5" w:rsidRPr="002C5B7A">
        <w:rPr>
          <w:rFonts w:ascii="Arial" w:hAnsi="Arial" w:cs="Arial"/>
          <w:sz w:val="18"/>
          <w:szCs w:val="18"/>
        </w:rPr>
        <w:t>β</w:t>
      </w:r>
      <w:r w:rsidR="005162B5" w:rsidRPr="002C5B7A">
        <w:rPr>
          <w:rFonts w:ascii="Tw Cen MT" w:hAnsi="Tw Cen MT" w:cs="Times New Roman"/>
          <w:sz w:val="18"/>
          <w:szCs w:val="18"/>
        </w:rPr>
        <w:t>-glucoronidase in  treated group but higher reduction was noticed in synbiotic combination. These results suggest that</w:t>
      </w:r>
      <w:r w:rsidR="002C5B7A" w:rsidRPr="002C5B7A">
        <w:rPr>
          <w:rFonts w:ascii="Tw Cen MT" w:hAnsi="Tw Cen MT" w:cs="Times New Roman"/>
          <w:sz w:val="18"/>
          <w:szCs w:val="18"/>
        </w:rPr>
        <w:t xml:space="preserve"> s</w:t>
      </w:r>
      <w:r w:rsidR="005162B5" w:rsidRPr="002C5B7A">
        <w:rPr>
          <w:rFonts w:ascii="Tw Cen MT" w:hAnsi="Tw Cen MT" w:cs="Times New Roman"/>
          <w:sz w:val="18"/>
          <w:szCs w:val="18"/>
        </w:rPr>
        <w:t xml:space="preserve">ynergy of suitable probiotic and prebiotic </w:t>
      </w:r>
      <w:r w:rsidR="007E1045" w:rsidRPr="002C5B7A">
        <w:rPr>
          <w:rFonts w:ascii="Tw Cen MT" w:hAnsi="Tw Cen MT" w:cs="Times New Roman"/>
          <w:sz w:val="18"/>
          <w:szCs w:val="18"/>
        </w:rPr>
        <w:t xml:space="preserve">can </w:t>
      </w:r>
      <w:r w:rsidR="005162B5" w:rsidRPr="002C5B7A">
        <w:rPr>
          <w:rFonts w:ascii="Tw Cen MT" w:hAnsi="Tw Cen MT" w:cs="Times New Roman"/>
          <w:sz w:val="18"/>
          <w:szCs w:val="18"/>
        </w:rPr>
        <w:t>act as colonic biofertilizers.</w:t>
      </w:r>
    </w:p>
    <w:p w:rsidR="00DC5269" w:rsidRPr="008D2C48" w:rsidRDefault="00DC5269" w:rsidP="005162B5">
      <w:pPr>
        <w:autoSpaceDE w:val="0"/>
        <w:autoSpaceDN w:val="0"/>
        <w:adjustRightInd w:val="0"/>
        <w:spacing w:after="0" w:line="240" w:lineRule="auto"/>
        <w:jc w:val="both"/>
        <w:rPr>
          <w:rFonts w:ascii="Times New Roman" w:hAnsi="Times New Roman" w:cs="Times New Roman"/>
          <w:sz w:val="18"/>
          <w:szCs w:val="18"/>
        </w:rPr>
      </w:pPr>
    </w:p>
    <w:p w:rsidR="008D2C48" w:rsidRPr="002C5B7A" w:rsidRDefault="00DC5269" w:rsidP="00DC5269">
      <w:pPr>
        <w:pStyle w:val="Default"/>
        <w:jc w:val="both"/>
        <w:rPr>
          <w:rFonts w:ascii="Tw Cen MT" w:hAnsi="Tw Cen MT" w:cs="Times New Roman"/>
        </w:rPr>
      </w:pPr>
      <w:r w:rsidRPr="002C5B7A">
        <w:rPr>
          <w:rFonts w:ascii="Tw Cen MT" w:hAnsi="Tw Cen MT" w:cs="Times New Roman"/>
          <w:sz w:val="18"/>
          <w:szCs w:val="18"/>
        </w:rPr>
        <w:t>Honey Chandran C.,et al.(2016</w:t>
      </w:r>
      <w:r w:rsidRPr="002C5B7A">
        <w:rPr>
          <w:rFonts w:ascii="Tw Cen MT" w:hAnsi="Tw Cen MT" w:cs="Times New Roman"/>
          <w:b/>
          <w:bCs/>
          <w:sz w:val="18"/>
          <w:szCs w:val="18"/>
        </w:rPr>
        <w:t>) “</w:t>
      </w:r>
      <w:r w:rsidRPr="002C5B7A">
        <w:rPr>
          <w:rFonts w:ascii="Tw Cen MT" w:hAnsi="Tw Cen MT" w:cs="Times New Roman"/>
          <w:sz w:val="18"/>
          <w:szCs w:val="18"/>
        </w:rPr>
        <w:t xml:space="preserve"> Effect of prebiotics on   synbiotic fermented milk”  World journal of pharmacy and pharmaceutical sciences,</w:t>
      </w:r>
      <w:r w:rsidRPr="002C5B7A">
        <w:rPr>
          <w:rFonts w:ascii="Tw Cen MT" w:hAnsi="Tw Cen MT" w:cs="Century Schoolbook"/>
          <w:sz w:val="18"/>
          <w:szCs w:val="18"/>
        </w:rPr>
        <w:t>Volume 5, Issue 2, 1557-1566.</w:t>
      </w:r>
    </w:p>
    <w:p w:rsidR="00DC5269" w:rsidRPr="00DC5269" w:rsidRDefault="00DC5269" w:rsidP="00DC5269">
      <w:pPr>
        <w:spacing w:line="240" w:lineRule="auto"/>
        <w:jc w:val="both"/>
        <w:rPr>
          <w:rFonts w:ascii="Times New Roman" w:hAnsi="Times New Roman" w:cs="Times New Roman"/>
          <w:sz w:val="18"/>
          <w:szCs w:val="18"/>
        </w:rPr>
        <w:sectPr w:rsidR="00DC5269" w:rsidRPr="00DC5269" w:rsidSect="008D2C48">
          <w:type w:val="continuous"/>
          <w:pgSz w:w="11906" w:h="16838"/>
          <w:pgMar w:top="1440" w:right="1440" w:bottom="1440" w:left="1440" w:header="708" w:footer="708" w:gutter="0"/>
          <w:cols w:num="2" w:space="708"/>
          <w:docGrid w:linePitch="360"/>
        </w:sectPr>
      </w:pPr>
      <w:r w:rsidRPr="002C5B7A">
        <w:rPr>
          <w:rFonts w:ascii="Tw Cen MT" w:hAnsi="Tw Cen MT" w:cs="Times New Roman"/>
          <w:sz w:val="18"/>
          <w:szCs w:val="18"/>
          <w:lang w:val="en-US"/>
        </w:rPr>
        <w:t xml:space="preserve">AnuPSebastian,Keerthi. T. R. (2014) Immunomodulatory effect of probiotic strain </w:t>
      </w:r>
      <w:r w:rsidRPr="002C5B7A">
        <w:rPr>
          <w:rFonts w:ascii="Tw Cen MT" w:hAnsi="Tw Cen MT" w:cs="Times New Roman"/>
          <w:i/>
          <w:sz w:val="18"/>
          <w:szCs w:val="18"/>
          <w:lang w:val="en-US"/>
        </w:rPr>
        <w:t>Bacillus subtilis</w:t>
      </w:r>
      <w:r w:rsidRPr="002C5B7A">
        <w:rPr>
          <w:rFonts w:ascii="Tw Cen MT" w:hAnsi="Tw Cen MT" w:cs="Times New Roman"/>
          <w:sz w:val="18"/>
          <w:szCs w:val="18"/>
          <w:lang w:val="en-US"/>
        </w:rPr>
        <w:t xml:space="preserve"> MBTU PBBMI spores in Balb/C Mice.</w:t>
      </w:r>
      <w:r w:rsidRPr="002C5B7A">
        <w:rPr>
          <w:rFonts w:ascii="Tw Cen MT" w:hAnsi="Tw Cen MT" w:cs="Times New Roman"/>
          <w:i/>
          <w:sz w:val="18"/>
          <w:szCs w:val="18"/>
          <w:lang w:val="en-US"/>
        </w:rPr>
        <w:t xml:space="preserve"> International Journal of Engineering and Technical Research</w:t>
      </w:r>
      <w:r w:rsidRPr="002C5B7A">
        <w:rPr>
          <w:rFonts w:ascii="Tw Cen MT" w:hAnsi="Tw Cen MT" w:cs="Times New Roman"/>
          <w:sz w:val="18"/>
          <w:szCs w:val="18"/>
          <w:lang w:val="en-US"/>
        </w:rPr>
        <w:t xml:space="preserve"> (IJETR)  ISSN: 2321-0869, Volume-2, Issue-11, November 2014.</w:t>
      </w:r>
    </w:p>
    <w:p w:rsidR="008D2C48" w:rsidRDefault="00FF05CC" w:rsidP="005162B5">
      <w:pPr>
        <w:spacing w:line="240" w:lineRule="auto"/>
        <w:rPr>
          <w:rFonts w:ascii="Times New Roman" w:hAnsi="Times New Roman" w:cs="Times New Roman"/>
          <w:sz w:val="18"/>
          <w:szCs w:val="18"/>
        </w:rPr>
      </w:pPr>
      <w:r>
        <w:rPr>
          <w:rFonts w:ascii="Times New Roman" w:hAnsi="Times New Roman" w:cs="Times New Roman"/>
          <w:noProof/>
          <w:lang w:eastAsia="en-IN"/>
        </w:rPr>
        <w:lastRenderedPageBreak/>
        <w:drawing>
          <wp:inline distT="0" distB="0" distL="0" distR="0" wp14:anchorId="42D63E56" wp14:editId="30223A8A">
            <wp:extent cx="1552575" cy="1428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6409" cy="1432278"/>
                    </a:xfrm>
                    <a:prstGeom prst="rect">
                      <a:avLst/>
                    </a:prstGeom>
                    <a:noFill/>
                  </pic:spPr>
                </pic:pic>
              </a:graphicData>
            </a:graphic>
          </wp:inline>
        </w:drawing>
      </w:r>
    </w:p>
    <w:p w:rsidR="00FF05CC" w:rsidRDefault="00FF05CC" w:rsidP="00FF05CC">
      <w:pPr>
        <w:jc w:val="both"/>
        <w:rPr>
          <w:rFonts w:ascii="Arial" w:eastAsia="Calibri" w:hAnsi="Arial" w:cs="Arial"/>
          <w:bCs/>
          <w:sz w:val="14"/>
          <w:szCs w:val="14"/>
          <w:lang w:val="en-US" w:bidi="ar-SA"/>
        </w:rPr>
      </w:pPr>
      <w:r w:rsidRPr="00FF05CC">
        <w:rPr>
          <w:rFonts w:ascii="Arial" w:eastAsia="Calibri" w:hAnsi="Arial" w:cs="Arial"/>
          <w:sz w:val="14"/>
          <w:szCs w:val="14"/>
          <w:lang w:val="en-US" w:bidi="ar-SA"/>
        </w:rPr>
        <w:t xml:space="preserve">Keerthi.T.R has completed her PhD at the age of 31 years from Cochin University of Science and Technology ,Cochin,Kerala,India.Currently she is Professor &amp; Director,School of Biosciences ,Mahatma Gandhi University,Kerala,India.Her area of interest is Probiotics and Bioprospecting of Marine microbe.She has more than sixteen years of experience  in teaching and 20years in  research.She has published more than 25 papers in reputed journals and 4 Book Chapters.She attended and presented her research findings in various international confereces such as ACB 2011 held at Shanghai,China, </w:t>
      </w:r>
      <w:r w:rsidRPr="00FF05CC">
        <w:rPr>
          <w:rFonts w:ascii="Arial" w:eastAsia="Calibri" w:hAnsi="Arial" w:cs="Arial"/>
          <w:bCs/>
          <w:sz w:val="14"/>
          <w:szCs w:val="14"/>
          <w:lang w:val="en-US" w:bidi="ar-SA"/>
        </w:rPr>
        <w:t>International Biotechnology Symposium, “IBS 2012”, September 16–21, 2012, Daegu, Korea(Chair a session also) ,TSB International Forum-2013 BITEC Bang Na, Bangkok, Thiland, August 28-30, 2013;</w:t>
      </w:r>
      <w:r w:rsidRPr="00FF05CC">
        <w:rPr>
          <w:rFonts w:ascii="Arial" w:eastAsia="Times New Roman" w:hAnsi="Arial" w:cs="Arial"/>
          <w:sz w:val="14"/>
          <w:szCs w:val="14"/>
          <w:lang w:val="en-US" w:bidi="ar-SA"/>
        </w:rPr>
        <w:t xml:space="preserve"> </w:t>
      </w:r>
      <w:r w:rsidRPr="00FF05CC">
        <w:rPr>
          <w:rFonts w:ascii="Arial" w:eastAsia="Calibri" w:hAnsi="Arial" w:cs="Arial"/>
          <w:bCs/>
          <w:sz w:val="14"/>
          <w:szCs w:val="14"/>
          <w:lang w:val="en-US" w:bidi="ar-SA"/>
        </w:rPr>
        <w:t>4</w:t>
      </w:r>
      <w:r w:rsidRPr="00FF05CC">
        <w:rPr>
          <w:rFonts w:ascii="Arial" w:eastAsia="Calibri" w:hAnsi="Arial" w:cs="Arial"/>
          <w:bCs/>
          <w:sz w:val="14"/>
          <w:szCs w:val="14"/>
          <w:vertAlign w:val="superscript"/>
          <w:lang w:val="en-US" w:bidi="ar-SA"/>
        </w:rPr>
        <w:t>th</w:t>
      </w:r>
      <w:r w:rsidRPr="00FF05CC">
        <w:rPr>
          <w:rFonts w:ascii="Arial" w:eastAsia="Calibri" w:hAnsi="Arial" w:cs="Arial"/>
          <w:bCs/>
          <w:sz w:val="14"/>
          <w:szCs w:val="14"/>
          <w:lang w:val="en-US" w:bidi="ar-SA"/>
        </w:rPr>
        <w:t xml:space="preserve"> Annual International Conference on Advances in Biotechnology (BioTech 2014)Dubai,BITS Pilani Campus 10-11</w:t>
      </w:r>
      <w:r w:rsidRPr="00FF05CC">
        <w:rPr>
          <w:rFonts w:ascii="Arial" w:eastAsia="Calibri" w:hAnsi="Arial" w:cs="Arial"/>
          <w:bCs/>
          <w:sz w:val="14"/>
          <w:szCs w:val="14"/>
          <w:vertAlign w:val="superscript"/>
          <w:lang w:val="en-US" w:bidi="ar-SA"/>
        </w:rPr>
        <w:t>th</w:t>
      </w:r>
      <w:r w:rsidRPr="00FF05CC">
        <w:rPr>
          <w:rFonts w:ascii="Arial" w:eastAsia="Calibri" w:hAnsi="Arial" w:cs="Arial"/>
          <w:bCs/>
          <w:sz w:val="14"/>
          <w:szCs w:val="14"/>
          <w:lang w:val="en-US" w:bidi="ar-SA"/>
        </w:rPr>
        <w:t xml:space="preserve"> March 2014,</w:t>
      </w:r>
      <w:r w:rsidRPr="00FF05CC">
        <w:rPr>
          <w:rFonts w:ascii="Arial" w:hAnsi="Arial" w:cs="Arial"/>
          <w:sz w:val="14"/>
          <w:szCs w:val="14"/>
        </w:rPr>
        <w:t xml:space="preserve"> </w:t>
      </w:r>
      <w:r w:rsidRPr="00FF05CC">
        <w:rPr>
          <w:rFonts w:ascii="Arial" w:eastAsia="Calibri" w:hAnsi="Arial" w:cs="Arial"/>
          <w:sz w:val="14"/>
          <w:szCs w:val="14"/>
        </w:rPr>
        <w:t>16th World Congress onNutrition and Food Chemistry”Zurich, Switzerland September 18-20, 2017.,Probiota Asia 2017 ,Singapore 11-13 October 2017.</w:t>
      </w:r>
      <w:r w:rsidRPr="00FF05CC">
        <w:rPr>
          <w:rFonts w:ascii="Arial" w:eastAsia="Calibri" w:hAnsi="Arial" w:cs="Arial"/>
          <w:bCs/>
          <w:sz w:val="14"/>
          <w:szCs w:val="14"/>
          <w:lang w:val="en-US" w:bidi="ar-SA"/>
        </w:rPr>
        <w:t xml:space="preserve"> She is member of number of academic and bodies in her university and also other universities within the state. She has</w:t>
      </w:r>
      <w:r w:rsidRPr="00FF05CC">
        <w:rPr>
          <w:rFonts w:ascii="Arial" w:eastAsia="Times New Roman" w:hAnsi="Arial" w:cs="Arial"/>
          <w:b/>
          <w:sz w:val="14"/>
          <w:szCs w:val="14"/>
          <w:lang w:val="en-US" w:bidi="ar-SA"/>
        </w:rPr>
        <w:t xml:space="preserve"> </w:t>
      </w:r>
      <w:r w:rsidRPr="00FF05CC">
        <w:rPr>
          <w:rFonts w:ascii="Arial" w:eastAsia="Calibri" w:hAnsi="Arial" w:cs="Arial"/>
          <w:sz w:val="14"/>
          <w:szCs w:val="14"/>
          <w:lang w:val="en-US" w:bidi="ar-SA"/>
        </w:rPr>
        <w:t>Membership in Scientific Societies such as</w:t>
      </w:r>
      <w:r w:rsidRPr="00FF05CC">
        <w:rPr>
          <w:rFonts w:ascii="Arial" w:eastAsia="Calibri" w:hAnsi="Arial" w:cs="Arial"/>
          <w:bCs/>
          <w:sz w:val="14"/>
          <w:szCs w:val="14"/>
          <w:lang w:val="en-US" w:bidi="ar-SA"/>
        </w:rPr>
        <w:t xml:space="preserve"> International Probiotics Association (IPA), Zurich, Switzerland; Asian Federation of Biotechnology (AFOB), Korea; Indian Dairy Association (IDA), New Delhi.</w:t>
      </w:r>
    </w:p>
    <w:p w:rsidR="00B127DD" w:rsidRPr="00FF05CC" w:rsidRDefault="00B127DD" w:rsidP="00FF05CC">
      <w:pPr>
        <w:jc w:val="both"/>
        <w:rPr>
          <w:rFonts w:ascii="Arial" w:eastAsia="Calibri" w:hAnsi="Arial" w:cs="Arial"/>
          <w:bCs/>
          <w:sz w:val="14"/>
          <w:szCs w:val="14"/>
          <w:lang w:val="en-US" w:bidi="ar-SA"/>
        </w:rPr>
      </w:pPr>
      <w:r>
        <w:rPr>
          <w:rFonts w:ascii="Arial" w:eastAsia="Calibri" w:hAnsi="Arial" w:cs="Arial"/>
          <w:bCs/>
          <w:sz w:val="14"/>
          <w:szCs w:val="14"/>
          <w:lang w:val="en-US" w:bidi="ar-SA"/>
        </w:rPr>
        <w:t xml:space="preserve">                                       </w:t>
      </w:r>
      <w:bookmarkStart w:id="0" w:name="_GoBack"/>
      <w:bookmarkEnd w:id="0"/>
      <w:r>
        <w:rPr>
          <w:rFonts w:ascii="Arial" w:eastAsia="Calibri" w:hAnsi="Arial" w:cs="Arial"/>
          <w:bCs/>
          <w:sz w:val="14"/>
          <w:szCs w:val="14"/>
          <w:lang w:val="en-US" w:bidi="ar-SA"/>
        </w:rPr>
        <w:t>keerthisureshbabu@gmail.com,keerthithalakattilraghavan@gmail.com</w:t>
      </w: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8D2C48" w:rsidRDefault="008D2C48" w:rsidP="008D2C48">
      <w:pPr>
        <w:jc w:val="both"/>
        <w:rPr>
          <w:rFonts w:ascii="Times New Roman" w:eastAsia="Calibri" w:hAnsi="Times New Roman" w:cs="Times New Roman"/>
          <w:sz w:val="18"/>
          <w:szCs w:val="18"/>
          <w:lang w:val="en-US" w:bidi="ar-SA"/>
        </w:rPr>
      </w:pPr>
    </w:p>
    <w:p w:rsidR="00CC36C8" w:rsidRPr="008D2C48" w:rsidRDefault="00CC36C8" w:rsidP="005162B5">
      <w:pPr>
        <w:autoSpaceDE w:val="0"/>
        <w:autoSpaceDN w:val="0"/>
        <w:adjustRightInd w:val="0"/>
        <w:spacing w:after="0" w:line="240" w:lineRule="auto"/>
        <w:jc w:val="both"/>
        <w:rPr>
          <w:rFonts w:ascii="Times New Roman" w:hAnsi="Times New Roman" w:cs="Times New Roman"/>
          <w:sz w:val="18"/>
          <w:szCs w:val="18"/>
        </w:rPr>
      </w:pPr>
    </w:p>
    <w:p w:rsidR="00596CB5" w:rsidRPr="008D2C48" w:rsidRDefault="00596CB5" w:rsidP="005162B5">
      <w:pPr>
        <w:autoSpaceDE w:val="0"/>
        <w:autoSpaceDN w:val="0"/>
        <w:adjustRightInd w:val="0"/>
        <w:spacing w:after="0" w:line="240" w:lineRule="auto"/>
        <w:jc w:val="both"/>
        <w:rPr>
          <w:rFonts w:ascii="Times New Roman" w:hAnsi="Times New Roman" w:cs="Times New Roman"/>
          <w:bCs/>
          <w:sz w:val="18"/>
          <w:szCs w:val="18"/>
        </w:rPr>
      </w:pPr>
    </w:p>
    <w:sectPr w:rsidR="00596CB5" w:rsidRPr="008D2C48" w:rsidSect="008D2C48">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venir 55 Roman">
    <w:altName w:val="Avenir 55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TimesNewRoman">
    <w:altName w:val="MS Mincho"/>
    <w:panose1 w:val="00000000000000000000"/>
    <w:charset w:val="80"/>
    <w:family w:val="auto"/>
    <w:notTrueType/>
    <w:pitch w:val="default"/>
    <w:sig w:usb0="00000003" w:usb1="08070000" w:usb2="00000010" w:usb3="00000000" w:csb0="0002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F5776"/>
    <w:multiLevelType w:val="hybridMultilevel"/>
    <w:tmpl w:val="4134F46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113"/>
    <w:rsid w:val="00061113"/>
    <w:rsid w:val="001E6D67"/>
    <w:rsid w:val="002C3847"/>
    <w:rsid w:val="002C5B7A"/>
    <w:rsid w:val="002D10E5"/>
    <w:rsid w:val="003D1DFF"/>
    <w:rsid w:val="00433089"/>
    <w:rsid w:val="004A7D46"/>
    <w:rsid w:val="005162B5"/>
    <w:rsid w:val="00596CB5"/>
    <w:rsid w:val="006172AA"/>
    <w:rsid w:val="007C46D8"/>
    <w:rsid w:val="007E1045"/>
    <w:rsid w:val="007F3A22"/>
    <w:rsid w:val="00810CCA"/>
    <w:rsid w:val="00824F05"/>
    <w:rsid w:val="008A1D93"/>
    <w:rsid w:val="008D2C48"/>
    <w:rsid w:val="00997F77"/>
    <w:rsid w:val="009D20AE"/>
    <w:rsid w:val="00AE2B0A"/>
    <w:rsid w:val="00B127DD"/>
    <w:rsid w:val="00B17A86"/>
    <w:rsid w:val="00C66639"/>
    <w:rsid w:val="00CC36C8"/>
    <w:rsid w:val="00CD3F5F"/>
    <w:rsid w:val="00D36EE4"/>
    <w:rsid w:val="00DC5269"/>
    <w:rsid w:val="00E718CC"/>
    <w:rsid w:val="00F506CD"/>
    <w:rsid w:val="00FA3077"/>
    <w:rsid w:val="00FC44D5"/>
    <w:rsid w:val="00FF05CC"/>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6">
    <w:name w:val="A6"/>
    <w:uiPriority w:val="99"/>
    <w:rsid w:val="001E6D67"/>
    <w:rPr>
      <w:rFonts w:cs="Avenir 55 Roman"/>
      <w:color w:val="000000"/>
      <w:sz w:val="20"/>
      <w:szCs w:val="20"/>
    </w:rPr>
  </w:style>
  <w:style w:type="paragraph" w:styleId="BalloonText">
    <w:name w:val="Balloon Text"/>
    <w:basedOn w:val="Normal"/>
    <w:link w:val="BalloonTextChar"/>
    <w:uiPriority w:val="99"/>
    <w:semiHidden/>
    <w:unhideWhenUsed/>
    <w:rsid w:val="00824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F05"/>
    <w:rPr>
      <w:rFonts w:ascii="Tahoma" w:hAnsi="Tahoma" w:cs="Tahoma"/>
      <w:sz w:val="16"/>
      <w:szCs w:val="16"/>
    </w:rPr>
  </w:style>
  <w:style w:type="paragraph" w:customStyle="1" w:styleId="Default">
    <w:name w:val="Default"/>
    <w:rsid w:val="00DC5269"/>
    <w:pPr>
      <w:autoSpaceDE w:val="0"/>
      <w:autoSpaceDN w:val="0"/>
      <w:adjustRightInd w:val="0"/>
      <w:spacing w:after="0" w:line="240" w:lineRule="auto"/>
    </w:pPr>
    <w:rPr>
      <w:rFonts w:ascii="Monotype Corsiva" w:hAnsi="Monotype Corsiva" w:cs="Monotype Corsiva"/>
      <w:color w:val="000000"/>
      <w:sz w:val="24"/>
      <w:szCs w:val="24"/>
    </w:rPr>
  </w:style>
  <w:style w:type="paragraph" w:styleId="NoSpacing">
    <w:name w:val="No Spacing"/>
    <w:uiPriority w:val="1"/>
    <w:qFormat/>
    <w:rsid w:val="002C5B7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6">
    <w:name w:val="A6"/>
    <w:uiPriority w:val="99"/>
    <w:rsid w:val="001E6D67"/>
    <w:rPr>
      <w:rFonts w:cs="Avenir 55 Roman"/>
      <w:color w:val="000000"/>
      <w:sz w:val="20"/>
      <w:szCs w:val="20"/>
    </w:rPr>
  </w:style>
  <w:style w:type="paragraph" w:styleId="BalloonText">
    <w:name w:val="Balloon Text"/>
    <w:basedOn w:val="Normal"/>
    <w:link w:val="BalloonTextChar"/>
    <w:uiPriority w:val="99"/>
    <w:semiHidden/>
    <w:unhideWhenUsed/>
    <w:rsid w:val="00824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F05"/>
    <w:rPr>
      <w:rFonts w:ascii="Tahoma" w:hAnsi="Tahoma" w:cs="Tahoma"/>
      <w:sz w:val="16"/>
      <w:szCs w:val="16"/>
    </w:rPr>
  </w:style>
  <w:style w:type="paragraph" w:customStyle="1" w:styleId="Default">
    <w:name w:val="Default"/>
    <w:rsid w:val="00DC5269"/>
    <w:pPr>
      <w:autoSpaceDE w:val="0"/>
      <w:autoSpaceDN w:val="0"/>
      <w:adjustRightInd w:val="0"/>
      <w:spacing w:after="0" w:line="240" w:lineRule="auto"/>
    </w:pPr>
    <w:rPr>
      <w:rFonts w:ascii="Monotype Corsiva" w:hAnsi="Monotype Corsiva" w:cs="Monotype Corsiva"/>
      <w:color w:val="000000"/>
      <w:sz w:val="24"/>
      <w:szCs w:val="24"/>
    </w:rPr>
  </w:style>
  <w:style w:type="paragraph" w:styleId="NoSpacing">
    <w:name w:val="No Spacing"/>
    <w:uiPriority w:val="1"/>
    <w:qFormat/>
    <w:rsid w:val="002C5B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824</TotalTime>
  <Pages>2</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Keerthi</dc:creator>
  <cp:keywords/>
  <dc:description/>
  <cp:lastModifiedBy>Keerthi</cp:lastModifiedBy>
  <cp:revision>11</cp:revision>
  <dcterms:created xsi:type="dcterms:W3CDTF">2017-12-03T05:00:00Z</dcterms:created>
  <dcterms:modified xsi:type="dcterms:W3CDTF">2018-01-05T01:54:00Z</dcterms:modified>
</cp:coreProperties>
</file>