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Default="002C0F2B" w:rsidP="00A820FB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8F77A7">
        <w:rPr>
          <w:sz w:val="22"/>
          <w:szCs w:val="22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71.25pt">
            <v:imagedata r:id="rId8" o:title="Nicolas_Celine" cropbottom="16159f" cropleft="7859f" cropright="9384f"/>
          </v:shape>
        </w:pict>
      </w:r>
    </w:p>
    <w:p w:rsidR="00470756" w:rsidRDefault="00470756" w:rsidP="00470756">
      <w:pPr>
        <w:rPr>
          <w:rFonts w:eastAsia="MS PGothic"/>
          <w:b/>
          <w:color w:val="000000"/>
          <w:sz w:val="28"/>
          <w:szCs w:val="28"/>
        </w:rPr>
      </w:pPr>
      <w:r w:rsidRPr="00470756">
        <w:rPr>
          <w:rFonts w:eastAsia="MS PGothic"/>
          <w:b/>
          <w:color w:val="000000"/>
          <w:sz w:val="28"/>
          <w:szCs w:val="28"/>
        </w:rPr>
        <w:t>Palatability, chewing time and digestibility of two new dental chews for dogs: Veggiedent® ZEN and Veggiedent® FLEX</w:t>
      </w:r>
    </w:p>
    <w:p w:rsidR="00470756" w:rsidRDefault="00470756" w:rsidP="00470756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470756" w:rsidRPr="000227E8" w:rsidRDefault="00470756" w:rsidP="00470756">
      <w:pPr>
        <w:jc w:val="center"/>
      </w:pPr>
      <w:r w:rsidRPr="000227E8">
        <w:t>Nicolas CS, Houziaux A, Monginoux P, Navarro  C</w:t>
      </w:r>
    </w:p>
    <w:p w:rsidR="00AC3BCD" w:rsidRDefault="00AE4AA0" w:rsidP="00AC3BCD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Virbac group</w:t>
      </w:r>
      <w:r w:rsidR="005D1660" w:rsidRPr="005D1660">
        <w:rPr>
          <w:rFonts w:eastAsia="MS PGothic" w:hAnsi="Arial"/>
          <w:color w:val="000000"/>
        </w:rPr>
        <w:t>, Carros, France</w:t>
      </w:r>
    </w:p>
    <w:p w:rsidR="00EC4558" w:rsidRDefault="00EC4558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AE4AA0" w:rsidRPr="00AE4AA0" w:rsidRDefault="00AE4AA0" w:rsidP="00AE4AA0">
      <w:pPr>
        <w:jc w:val="both"/>
        <w:rPr>
          <w:lang w:val="en-US"/>
        </w:rPr>
      </w:pPr>
      <w:r w:rsidRPr="00AE4AA0">
        <w:rPr>
          <w:lang w:val="en-US"/>
        </w:rPr>
        <w:t xml:space="preserve">The palatability and chewing time of </w:t>
      </w:r>
      <w:proofErr w:type="spellStart"/>
      <w:r w:rsidRPr="00AE4AA0">
        <w:rPr>
          <w:lang w:val="en-US"/>
        </w:rPr>
        <w:t>Veggiedent</w:t>
      </w:r>
      <w:proofErr w:type="spellEnd"/>
      <w:r w:rsidRPr="00AE4AA0">
        <w:rPr>
          <w:lang w:val="en-US"/>
        </w:rPr>
        <w:t xml:space="preserve">® ZEN and </w:t>
      </w:r>
      <w:proofErr w:type="spellStart"/>
      <w:r w:rsidRPr="00AE4AA0">
        <w:rPr>
          <w:lang w:val="en-US"/>
        </w:rPr>
        <w:t>Veggiedent</w:t>
      </w:r>
      <w:proofErr w:type="spellEnd"/>
      <w:r w:rsidRPr="00AE4AA0">
        <w:rPr>
          <w:lang w:val="en-US"/>
        </w:rPr>
        <w:t>® FLEX (</w:t>
      </w:r>
      <w:proofErr w:type="spellStart"/>
      <w:r w:rsidRPr="00AE4AA0">
        <w:rPr>
          <w:lang w:val="en-US"/>
        </w:rPr>
        <w:t>Virbac</w:t>
      </w:r>
      <w:proofErr w:type="spellEnd"/>
      <w:r w:rsidRPr="00AE4AA0">
        <w:rPr>
          <w:lang w:val="en-US"/>
        </w:rPr>
        <w:t xml:space="preserve">) were evaluated in independent studies. Both products combine the FR3SH™ technology (pomegranate, </w:t>
      </w:r>
      <w:proofErr w:type="spellStart"/>
      <w:r w:rsidRPr="00AE4AA0">
        <w:rPr>
          <w:lang w:val="en-US"/>
        </w:rPr>
        <w:t>erythritol</w:t>
      </w:r>
      <w:proofErr w:type="spellEnd"/>
      <w:r w:rsidRPr="00AE4AA0">
        <w:rPr>
          <w:lang w:val="en-US"/>
        </w:rPr>
        <w:t xml:space="preserve"> and inulin) for fresh breath and either L-</w:t>
      </w:r>
      <w:proofErr w:type="spellStart"/>
      <w:r w:rsidRPr="00AE4AA0">
        <w:rPr>
          <w:lang w:val="en-US"/>
        </w:rPr>
        <w:t>theanine</w:t>
      </w:r>
      <w:proofErr w:type="spellEnd"/>
      <w:r w:rsidRPr="00AE4AA0">
        <w:rPr>
          <w:lang w:val="en-US"/>
        </w:rPr>
        <w:t xml:space="preserve"> (</w:t>
      </w:r>
      <w:proofErr w:type="spellStart"/>
      <w:r w:rsidRPr="00AE4AA0">
        <w:rPr>
          <w:lang w:val="en-US"/>
        </w:rPr>
        <w:t>Veggiedent</w:t>
      </w:r>
      <w:proofErr w:type="spellEnd"/>
      <w:r w:rsidRPr="00AE4AA0">
        <w:rPr>
          <w:lang w:val="en-US"/>
        </w:rPr>
        <w:t>® ZEN), known to support relaxation or Eggshell membrane (</w:t>
      </w:r>
      <w:proofErr w:type="spellStart"/>
      <w:r w:rsidRPr="00AE4AA0">
        <w:rPr>
          <w:lang w:val="en-US"/>
        </w:rPr>
        <w:t>Veggiedent</w:t>
      </w:r>
      <w:proofErr w:type="spellEnd"/>
      <w:r w:rsidRPr="00AE4AA0">
        <w:rPr>
          <w:lang w:val="en-US"/>
        </w:rPr>
        <w:t>® FLEX), known to support joint health and mobility.</w:t>
      </w:r>
    </w:p>
    <w:p w:rsidR="00AE4AA0" w:rsidRPr="00AE4AA0" w:rsidRDefault="00AE4AA0" w:rsidP="00AE4AA0">
      <w:pPr>
        <w:jc w:val="both"/>
        <w:rPr>
          <w:lang w:val="en-US"/>
        </w:rPr>
      </w:pPr>
      <w:r w:rsidRPr="00AE4AA0">
        <w:rPr>
          <w:lang w:val="en-US"/>
        </w:rPr>
        <w:t xml:space="preserve">Over the 37 dogs testing </w:t>
      </w:r>
      <w:proofErr w:type="spellStart"/>
      <w:r w:rsidRPr="00AE4AA0">
        <w:rPr>
          <w:lang w:val="en-US"/>
        </w:rPr>
        <w:t>Veggiedent</w:t>
      </w:r>
      <w:proofErr w:type="spellEnd"/>
      <w:r w:rsidRPr="00AE4AA0">
        <w:rPr>
          <w:lang w:val="en-US"/>
        </w:rPr>
        <w:t>® ZEN, all took the chew (</w:t>
      </w:r>
      <w:proofErr w:type="spellStart"/>
      <w:r w:rsidRPr="00AE4AA0">
        <w:rPr>
          <w:lang w:val="en-US"/>
        </w:rPr>
        <w:t>prehension</w:t>
      </w:r>
      <w:proofErr w:type="spellEnd"/>
      <w:r w:rsidRPr="00AE4AA0">
        <w:rPr>
          <w:lang w:val="en-US"/>
        </w:rPr>
        <w:t xml:space="preserve">: 100%), 35/37 chewed it (chewing: 95%) and 34/37 completely consumed the chew (acceptability: 92%). The mean (SD) chewing time was of 244 (122) sec and was of 228 (85) sec (= 3 min 48 sec) after exclusion of 1 atypical dog chewing for more than 10 min. </w:t>
      </w:r>
    </w:p>
    <w:p w:rsidR="00AE4AA0" w:rsidRPr="00AE4AA0" w:rsidRDefault="00AE4AA0" w:rsidP="00AE4AA0">
      <w:pPr>
        <w:jc w:val="both"/>
        <w:rPr>
          <w:lang w:val="en-US"/>
        </w:rPr>
      </w:pPr>
      <w:r w:rsidRPr="00AE4AA0">
        <w:rPr>
          <w:lang w:val="en-US"/>
        </w:rPr>
        <w:t xml:space="preserve">All the 36 dogs testing </w:t>
      </w:r>
      <w:proofErr w:type="spellStart"/>
      <w:r w:rsidRPr="00AE4AA0">
        <w:rPr>
          <w:lang w:val="en-US"/>
        </w:rPr>
        <w:t>Veggiedent</w:t>
      </w:r>
      <w:proofErr w:type="spellEnd"/>
      <w:r w:rsidRPr="00AE4AA0">
        <w:rPr>
          <w:lang w:val="en-US"/>
        </w:rPr>
        <w:t>® FLEX took it (</w:t>
      </w:r>
      <w:proofErr w:type="spellStart"/>
      <w:r w:rsidRPr="00AE4AA0">
        <w:rPr>
          <w:lang w:val="en-US"/>
        </w:rPr>
        <w:t>prehension</w:t>
      </w:r>
      <w:proofErr w:type="spellEnd"/>
      <w:r w:rsidRPr="00AE4AA0">
        <w:rPr>
          <w:lang w:val="en-US"/>
        </w:rPr>
        <w:t>: 100%), chewed it (chewing: 100%) and totally consumed it (acceptability: 100%). The mean (SD) chewing time was of 319 (148) sec and was of 288 (109) sec (= 4 min 48 sec) after exclusion of 3 atypical dogs chewing for more than 10 min.</w:t>
      </w:r>
    </w:p>
    <w:p w:rsidR="00AE4AA0" w:rsidRPr="00AE4AA0" w:rsidRDefault="00AE4AA0" w:rsidP="00AE4AA0">
      <w:pPr>
        <w:jc w:val="both"/>
        <w:rPr>
          <w:lang w:val="en-US"/>
        </w:rPr>
      </w:pPr>
      <w:r w:rsidRPr="00AE4AA0">
        <w:rPr>
          <w:lang w:val="en-US"/>
        </w:rPr>
        <w:t xml:space="preserve">The </w:t>
      </w:r>
      <w:proofErr w:type="spellStart"/>
      <w:r w:rsidRPr="00AE4AA0">
        <w:rPr>
          <w:lang w:val="en-US"/>
        </w:rPr>
        <w:t>ileal</w:t>
      </w:r>
      <w:proofErr w:type="spellEnd"/>
      <w:r w:rsidRPr="00AE4AA0">
        <w:rPr>
          <w:lang w:val="en-US"/>
        </w:rPr>
        <w:t xml:space="preserve"> digestibility of dry matter of these two products was also tested in an independent lab, ba</w:t>
      </w:r>
      <w:r w:rsidR="008F77A7">
        <w:rPr>
          <w:lang w:val="en-US"/>
        </w:rPr>
        <w:t xml:space="preserve">sed on </w:t>
      </w:r>
      <w:proofErr w:type="spellStart"/>
      <w:r w:rsidR="008F77A7">
        <w:rPr>
          <w:lang w:val="en-US"/>
        </w:rPr>
        <w:t>Boisen’s</w:t>
      </w:r>
      <w:proofErr w:type="spellEnd"/>
      <w:r w:rsidR="008F77A7">
        <w:rPr>
          <w:lang w:val="en-US"/>
        </w:rPr>
        <w:t xml:space="preserve"> method in vitro</w:t>
      </w:r>
      <w:r w:rsidR="008F77A7">
        <w:rPr>
          <w:vertAlign w:val="superscript"/>
          <w:lang w:val="en-US"/>
        </w:rPr>
        <w:t>1</w:t>
      </w:r>
      <w:r w:rsidRPr="00AE4AA0">
        <w:rPr>
          <w:lang w:val="en-US"/>
        </w:rPr>
        <w:t xml:space="preserve">, following 2 incubation steps: one with a pepsin solution, pH2 for 6h to mimic gastric digestion and one with a </w:t>
      </w:r>
      <w:proofErr w:type="spellStart"/>
      <w:r w:rsidRPr="00AE4AA0">
        <w:rPr>
          <w:lang w:val="en-US"/>
        </w:rPr>
        <w:t>pancreatin</w:t>
      </w:r>
      <w:proofErr w:type="spellEnd"/>
      <w:r w:rsidRPr="00AE4AA0">
        <w:rPr>
          <w:lang w:val="en-US"/>
        </w:rPr>
        <w:t xml:space="preserve"> solution, pH 6.8 for 18h to mimic small intestinal digestion. Both products were found to be 100% digestible. </w:t>
      </w:r>
    </w:p>
    <w:p w:rsidR="007D7865" w:rsidRDefault="00AE4AA0" w:rsidP="00AE4AA0">
      <w:pPr>
        <w:jc w:val="both"/>
        <w:rPr>
          <w:lang w:val="en-US"/>
        </w:rPr>
      </w:pPr>
      <w:r w:rsidRPr="00AE4AA0">
        <w:rPr>
          <w:lang w:val="en-US"/>
        </w:rPr>
        <w:t xml:space="preserve">Therefore, </w:t>
      </w:r>
      <w:proofErr w:type="spellStart"/>
      <w:r w:rsidRPr="00AE4AA0">
        <w:rPr>
          <w:lang w:val="en-US"/>
        </w:rPr>
        <w:t>Veggiedent</w:t>
      </w:r>
      <w:proofErr w:type="spellEnd"/>
      <w:r w:rsidRPr="00AE4AA0">
        <w:rPr>
          <w:lang w:val="en-US"/>
        </w:rPr>
        <w:t xml:space="preserve">® ZEN and </w:t>
      </w:r>
      <w:proofErr w:type="spellStart"/>
      <w:r w:rsidRPr="00AE4AA0">
        <w:rPr>
          <w:lang w:val="en-US"/>
        </w:rPr>
        <w:t>Veggiedent</w:t>
      </w:r>
      <w:proofErr w:type="spellEnd"/>
      <w:r w:rsidRPr="00AE4AA0">
        <w:rPr>
          <w:lang w:val="en-US"/>
        </w:rPr>
        <w:t>® FLEX are highly palatable and totally digestible in vitro.</w:t>
      </w:r>
    </w:p>
    <w:p w:rsidR="00AE4AA0" w:rsidRDefault="00AE4AA0" w:rsidP="00AE4AA0">
      <w:pPr>
        <w:jc w:val="both"/>
        <w:rPr>
          <w:color w:val="000000"/>
          <w:lang w:val="en-US"/>
        </w:rPr>
      </w:pPr>
    </w:p>
    <w:p w:rsidR="008F77A7" w:rsidRDefault="008F77A7" w:rsidP="008F77A7">
      <w:pPr>
        <w:numPr>
          <w:ilvl w:val="0"/>
          <w:numId w:val="4"/>
        </w:numPr>
        <w:rPr>
          <w:sz w:val="18"/>
          <w:lang w:val="en-US" w:eastAsia="fr-FR"/>
        </w:rPr>
      </w:pPr>
      <w:proofErr w:type="spellStart"/>
      <w:r w:rsidRPr="008F77A7">
        <w:rPr>
          <w:sz w:val="18"/>
          <w:lang w:val="en-US"/>
        </w:rPr>
        <w:t>Boisen</w:t>
      </w:r>
      <w:proofErr w:type="spellEnd"/>
      <w:r w:rsidRPr="008F77A7">
        <w:rPr>
          <w:sz w:val="18"/>
          <w:lang w:val="en-US"/>
        </w:rPr>
        <w:t xml:space="preserve"> S., </w:t>
      </w:r>
      <w:proofErr w:type="spellStart"/>
      <w:r w:rsidRPr="008F77A7">
        <w:rPr>
          <w:sz w:val="18"/>
          <w:lang w:val="en-US"/>
        </w:rPr>
        <w:t>Femandez</w:t>
      </w:r>
      <w:proofErr w:type="spellEnd"/>
      <w:r w:rsidRPr="008F77A7">
        <w:rPr>
          <w:sz w:val="18"/>
          <w:lang w:val="en-US"/>
        </w:rPr>
        <w:t xml:space="preserve"> J.A. Anim. Feed Sci. Technol. 1995. 51, 29-43.</w:t>
      </w:r>
    </w:p>
    <w:p w:rsidR="008F77A7" w:rsidRPr="008F77A7" w:rsidRDefault="008F77A7" w:rsidP="008F77A7">
      <w:pPr>
        <w:ind w:left="360"/>
        <w:rPr>
          <w:sz w:val="18"/>
          <w:lang w:val="en-US" w:eastAsia="fr-FR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Pr="00ED3B22" w:rsidRDefault="00ED3B22" w:rsidP="00ED3B22">
      <w:pPr>
        <w:jc w:val="both"/>
      </w:pPr>
      <w:r>
        <w:t xml:space="preserve">Céline Nicolas graduated in Veterinary Medicine and </w:t>
      </w:r>
      <w:r w:rsidR="00826041">
        <w:t>as a</w:t>
      </w:r>
      <w:r>
        <w:t xml:space="preserve"> PhD from the University of Nantes (France). She then worked as a Post-doctoral fellow and Research Assistant at the University of Bristol (UK) for 5 years and at</w:t>
      </w:r>
      <w:r w:rsidR="00826041">
        <w:t xml:space="preserve"> the University of Nice (France</w:t>
      </w:r>
      <w:r>
        <w:t xml:space="preserve">) for 2 years. She has published </w:t>
      </w:r>
      <w:r w:rsidR="000E477E">
        <w:t>several</w:t>
      </w:r>
      <w:r>
        <w:t xml:space="preserve"> articles in reputed jour</w:t>
      </w:r>
      <w:r w:rsidR="00D265D7">
        <w:t xml:space="preserve">nals and joined Virbac </w:t>
      </w:r>
      <w:r>
        <w:t>in 2016</w:t>
      </w:r>
      <w:r w:rsidR="00AC3BCD">
        <w:t>.</w:t>
      </w:r>
      <w:r w:rsidR="00DA2249">
        <w:tab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D3B22">
        <w:rPr>
          <w:lang w:val="en-NZ"/>
        </w:rPr>
        <w:t>Nicolas Céline</w:t>
      </w:r>
      <w:r w:rsidRPr="008A690F">
        <w:rPr>
          <w:lang w:val="en-NZ"/>
        </w:rPr>
        <w:br/>
        <w:t>Contact number:</w:t>
      </w:r>
      <w:r w:rsidR="00ED3B22">
        <w:rPr>
          <w:lang w:val="en-NZ"/>
        </w:rPr>
        <w:t xml:space="preserve"> </w:t>
      </w:r>
      <w:r w:rsidRPr="008A690F">
        <w:rPr>
          <w:lang w:val="en-NZ"/>
        </w:rPr>
        <w:br/>
        <w:t>Twitter account:</w:t>
      </w:r>
      <w:r w:rsidR="00ED3B22">
        <w:rPr>
          <w:lang w:val="en-NZ"/>
        </w:rPr>
        <w:t xml:space="preserve"> </w:t>
      </w:r>
      <w:r w:rsidRPr="008A690F">
        <w:rPr>
          <w:lang w:val="en-NZ"/>
        </w:rPr>
        <w:br/>
        <w:t>Linked In account:</w:t>
      </w:r>
      <w:r w:rsidR="00ED3B22">
        <w:rPr>
          <w:lang w:val="en-NZ"/>
        </w:rPr>
        <w:t xml:space="preserve"> </w:t>
      </w:r>
    </w:p>
    <w:p w:rsidR="00AD6315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</w:t>
      </w:r>
      <w:r w:rsidR="000D10E5">
        <w:rPr>
          <w:lang w:val="en-NZ"/>
        </w:rPr>
        <w:t xml:space="preserve"> </w:t>
      </w:r>
      <w:r w:rsidR="00D265D7">
        <w:rPr>
          <w:lang w:val="en-NZ"/>
        </w:rPr>
        <w:t>e-</w:t>
      </w:r>
      <w:r w:rsidR="005F721A">
        <w:rPr>
          <w:lang w:val="en-NZ"/>
        </w:rPr>
        <w:t>P</w:t>
      </w:r>
      <w:r w:rsidR="000D10E5">
        <w:rPr>
          <w:lang w:val="en-NZ"/>
        </w:rPr>
        <w:t>oster</w:t>
      </w:r>
      <w:bookmarkStart w:id="0" w:name="_GoBack"/>
      <w:bookmarkEnd w:id="0"/>
      <w:r w:rsidR="00DA581F">
        <w:rPr>
          <w:lang w:val="en-NZ"/>
        </w:rPr>
        <w:br/>
      </w: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1DF" w:rsidRDefault="007851DF" w:rsidP="00671A59">
      <w:r>
        <w:separator/>
      </w:r>
    </w:p>
  </w:endnote>
  <w:endnote w:type="continuationSeparator" w:id="0">
    <w:p w:rsidR="007851DF" w:rsidRDefault="007851DF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1DF" w:rsidRDefault="007851DF" w:rsidP="00671A59">
      <w:r>
        <w:separator/>
      </w:r>
    </w:p>
  </w:footnote>
  <w:footnote w:type="continuationSeparator" w:id="0">
    <w:p w:rsidR="007851DF" w:rsidRDefault="007851DF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7F0333">
    <w:pPr>
      <w:pStyle w:val="En-tte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936B1"/>
    <w:multiLevelType w:val="hybridMultilevel"/>
    <w:tmpl w:val="28885550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676"/>
    <w:rsid w:val="00023D76"/>
    <w:rsid w:val="000253F6"/>
    <w:rsid w:val="00072E30"/>
    <w:rsid w:val="00085B88"/>
    <w:rsid w:val="00090564"/>
    <w:rsid w:val="00097CA5"/>
    <w:rsid w:val="000A4C72"/>
    <w:rsid w:val="000C23FB"/>
    <w:rsid w:val="000D10E5"/>
    <w:rsid w:val="000D4B1C"/>
    <w:rsid w:val="000E477E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38D6"/>
    <w:rsid w:val="00205354"/>
    <w:rsid w:val="002659F1"/>
    <w:rsid w:val="00270EC9"/>
    <w:rsid w:val="00292DC0"/>
    <w:rsid w:val="002B18D5"/>
    <w:rsid w:val="002C0F2B"/>
    <w:rsid w:val="00323465"/>
    <w:rsid w:val="003753DD"/>
    <w:rsid w:val="00396358"/>
    <w:rsid w:val="003A4429"/>
    <w:rsid w:val="00470756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1660"/>
    <w:rsid w:val="005D43ED"/>
    <w:rsid w:val="005F721A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51DF"/>
    <w:rsid w:val="007875D1"/>
    <w:rsid w:val="00790C29"/>
    <w:rsid w:val="007D7865"/>
    <w:rsid w:val="007E457A"/>
    <w:rsid w:val="007F0333"/>
    <w:rsid w:val="00800D58"/>
    <w:rsid w:val="00826041"/>
    <w:rsid w:val="00834D93"/>
    <w:rsid w:val="00862283"/>
    <w:rsid w:val="008A3E9A"/>
    <w:rsid w:val="008A690F"/>
    <w:rsid w:val="008F77A7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20FB"/>
    <w:rsid w:val="00A83688"/>
    <w:rsid w:val="00A83863"/>
    <w:rsid w:val="00AC3BCD"/>
    <w:rsid w:val="00AD6315"/>
    <w:rsid w:val="00AE4AA0"/>
    <w:rsid w:val="00AF4356"/>
    <w:rsid w:val="00B26097"/>
    <w:rsid w:val="00B27625"/>
    <w:rsid w:val="00B675D9"/>
    <w:rsid w:val="00BB728C"/>
    <w:rsid w:val="00BF5676"/>
    <w:rsid w:val="00CE08A2"/>
    <w:rsid w:val="00D265D7"/>
    <w:rsid w:val="00D367E3"/>
    <w:rsid w:val="00DA2249"/>
    <w:rsid w:val="00DA581F"/>
    <w:rsid w:val="00DC29A1"/>
    <w:rsid w:val="00DC7405"/>
    <w:rsid w:val="00DD3006"/>
    <w:rsid w:val="00DE2102"/>
    <w:rsid w:val="00E119D1"/>
    <w:rsid w:val="00E50C60"/>
    <w:rsid w:val="00E713DA"/>
    <w:rsid w:val="00E85CF8"/>
    <w:rsid w:val="00EB353E"/>
    <w:rsid w:val="00EC4558"/>
    <w:rsid w:val="00ED3B22"/>
    <w:rsid w:val="00ED51D7"/>
    <w:rsid w:val="00EE1DF0"/>
    <w:rsid w:val="00F01887"/>
    <w:rsid w:val="00F215A7"/>
    <w:rsid w:val="00F42DCF"/>
    <w:rsid w:val="00F50311"/>
    <w:rsid w:val="00F5211E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Titre1">
    <w:name w:val="heading 1"/>
    <w:aliases w:val="title"/>
    <w:basedOn w:val="Normal"/>
    <w:next w:val="Normal"/>
    <w:link w:val="Titre1C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Titre3">
    <w:name w:val="heading 3"/>
    <w:aliases w:val="Authors"/>
    <w:basedOn w:val="Normal"/>
    <w:next w:val="Normal"/>
    <w:link w:val="Titre3C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le Car"/>
    <w:link w:val="Titre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3Car">
    <w:name w:val="Titre 3 Car"/>
    <w:aliases w:val="Authors Car"/>
    <w:link w:val="Titre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Lienhypertext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CorpsdetexteCar">
    <w:name w:val="Corps de texte Car"/>
    <w:link w:val="Corpsdetexte"/>
    <w:uiPriority w:val="99"/>
    <w:semiHidden/>
    <w:rPr>
      <w:sz w:val="24"/>
      <w:szCs w:val="24"/>
    </w:rPr>
  </w:style>
  <w:style w:type="character" w:styleId="Marquedecommentair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aireCar">
    <w:name w:val="Commentaire Car"/>
    <w:link w:val="Commentaire"/>
    <w:uiPriority w:val="99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20535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TextedebullesCar">
    <w:name w:val="Texte de bulles Car"/>
    <w:link w:val="Textedebulles"/>
    <w:uiPriority w:val="99"/>
    <w:semiHidden/>
    <w:rPr>
      <w:rFonts w:ascii="Tahoma" w:hAnsi="Tahoma" w:cs="Tahoma"/>
      <w:sz w:val="16"/>
      <w:szCs w:val="16"/>
    </w:rPr>
  </w:style>
  <w:style w:type="paragraph" w:styleId="Retraitcorpsdetexte">
    <w:name w:val="Body Text Indent"/>
    <w:basedOn w:val="Normal"/>
    <w:link w:val="RetraitcorpsdetexteC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RetraitcorpsdetexteCar">
    <w:name w:val="Retrait corps de texte Car"/>
    <w:link w:val="Retraitcorpsdetexte"/>
    <w:uiPriority w:val="99"/>
    <w:semiHidden/>
    <w:rPr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En-tteCar">
    <w:name w:val="En-tête Car"/>
    <w:link w:val="En-tte"/>
    <w:uiPriority w:val="99"/>
    <w:rsid w:val="00671A5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PieddepageCar">
    <w:name w:val="Pied de page Car"/>
    <w:link w:val="Pieddepage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Notedefin">
    <w:name w:val="endnote text"/>
    <w:basedOn w:val="Normal"/>
    <w:link w:val="NotedefinCar"/>
    <w:uiPriority w:val="99"/>
    <w:semiHidden/>
    <w:unhideWhenUsed/>
    <w:rsid w:val="007D7865"/>
    <w:rPr>
      <w:rFonts w:ascii="Calibri" w:eastAsia="Calibri" w:hAnsi="Calibri"/>
      <w:sz w:val="20"/>
      <w:szCs w:val="20"/>
      <w:lang w:val="fr-FR" w:eastAsia="en-US"/>
    </w:rPr>
  </w:style>
  <w:style w:type="character" w:customStyle="1" w:styleId="NotedefinCar">
    <w:name w:val="Note de fin Car"/>
    <w:link w:val="Notedefin"/>
    <w:uiPriority w:val="99"/>
    <w:semiHidden/>
    <w:rsid w:val="007D7865"/>
    <w:rPr>
      <w:rFonts w:ascii="Calibri" w:eastAsia="Calibri" w:hAnsi="Calibri"/>
      <w:lang w:eastAsia="en-US"/>
    </w:rPr>
  </w:style>
  <w:style w:type="character" w:styleId="Appeldenotedefin">
    <w:name w:val="endnote reference"/>
    <w:uiPriority w:val="99"/>
    <w:semiHidden/>
    <w:unhideWhenUsed/>
    <w:rsid w:val="007D7865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D7865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7D7865"/>
    <w:rPr>
      <w:lang w:val="it-IT" w:eastAsia="it-IT"/>
    </w:rPr>
  </w:style>
  <w:style w:type="character" w:styleId="Appelnotedebasdep">
    <w:name w:val="footnote reference"/>
    <w:uiPriority w:val="99"/>
    <w:semiHidden/>
    <w:unhideWhenUsed/>
    <w:rsid w:val="007D78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DA73F-AC08-4835-805E-7F8DF6CAC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1998</Characters>
  <Application>Microsoft Office Word</Application>
  <DocSecurity>0</DocSecurity>
  <Lines>16</Lines>
  <Paragraphs>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2357</CharactersWithSpaces>
  <SharedDoc>false</SharedDoc>
  <HLinks>
    <vt:vector size="12" baseType="variant">
      <vt:variant>
        <vt:i4>6160400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https://eur-lex.europa.eu/legal-content/en/TXT/HTML/?uri=CELEX:31972L0199</vt:lpwstr>
      </vt:variant>
      <vt:variant>
        <vt:lpwstr/>
      </vt:variant>
      <vt:variant>
        <vt:i4>64</vt:i4>
      </vt:variant>
      <vt:variant>
        <vt:i4>0</vt:i4>
      </vt:variant>
      <vt:variant>
        <vt:i4>0</vt:i4>
      </vt:variant>
      <vt:variant>
        <vt:i4>5</vt:i4>
      </vt:variant>
      <vt:variant>
        <vt:lpwstr>https://www.wsava.org/Guidelines/Global-Dental-Guidelines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2018-12-05T10:57:00Z</dcterms:created>
  <dcterms:modified xsi:type="dcterms:W3CDTF">2018-12-05T11:04:00Z</dcterms:modified>
</cp:coreProperties>
</file>