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ADA5E" w14:textId="77777777" w:rsidR="00E25D96" w:rsidRDefault="00E25D96" w:rsidP="00E25D96">
      <w:pPr>
        <w:jc w:val="center"/>
        <w:rPr>
          <w:rFonts w:ascii="Times New Roman" w:hAnsi="Times New Roman" w:cs="Times New Roman"/>
          <w:sz w:val="24"/>
          <w:szCs w:val="24"/>
        </w:rPr>
      </w:pPr>
      <w:r>
        <w:rPr>
          <w:rFonts w:ascii="Times New Roman" w:hAnsi="Times New Roman" w:cs="Times New Roman"/>
          <w:sz w:val="24"/>
          <w:szCs w:val="24"/>
        </w:rPr>
        <w:t>Abstract</w:t>
      </w:r>
    </w:p>
    <w:p w14:paraId="4AD84B33" w14:textId="77777777" w:rsidR="00E25D96" w:rsidRDefault="00E25D96" w:rsidP="00E25D96">
      <w:pPr>
        <w:spacing w:line="480" w:lineRule="auto"/>
        <w:rPr>
          <w:rFonts w:ascii="Times New Roman" w:hAnsi="Times New Roman" w:cs="Times New Roman"/>
          <w:color w:val="000000" w:themeColor="text1"/>
          <w:sz w:val="24"/>
          <w:szCs w:val="24"/>
        </w:rPr>
      </w:pPr>
      <w:bookmarkStart w:id="0" w:name="_Hlk9354074"/>
      <w:r>
        <w:rPr>
          <w:rFonts w:ascii="Times New Roman" w:hAnsi="Times New Roman" w:cs="Times New Roman"/>
          <w:sz w:val="24"/>
          <w:szCs w:val="24"/>
        </w:rPr>
        <w:t xml:space="preserve">Individuals born between 1982 and 2005 are considered Generation Y or the millennial generation.  There are many challenges and opportunities associated with training this unique group (Eckleberry-Hunt &amp; Tucciarone, 2011).  Educators need to take note and adapt their educational strategies to meet the challenges associated educating Generation Y students.  Instructors are slow to adopt new educational strategies necessary to meet the needs of this generation.  Generation Y students are presenting to Universities around the world, and it has been proven in the literature that these students desire new and exciting learning environments that are stimulating and interactive.  </w:t>
      </w:r>
      <w:r>
        <w:rPr>
          <w:rFonts w:ascii="Times New Roman" w:hAnsi="Times New Roman" w:cs="Times New Roman"/>
          <w:color w:val="2D3B45"/>
          <w:sz w:val="24"/>
          <w:szCs w:val="24"/>
        </w:rPr>
        <w:t>“</w:t>
      </w:r>
      <w:r w:rsidRPr="00B12A75">
        <w:rPr>
          <w:rFonts w:ascii="Times New Roman" w:hAnsi="Times New Roman" w:cs="Times New Roman"/>
          <w:color w:val="000000" w:themeColor="text1"/>
          <w:sz w:val="24"/>
          <w:szCs w:val="24"/>
        </w:rPr>
        <w:t>Today’s student is “dependent upon technology” and has been called a “digital native</w:t>
      </w:r>
      <w:r>
        <w:rPr>
          <w:rFonts w:ascii="Times New Roman" w:hAnsi="Times New Roman" w:cs="Times New Roman"/>
          <w:color w:val="000000" w:themeColor="text1"/>
          <w:sz w:val="24"/>
          <w:szCs w:val="24"/>
        </w:rPr>
        <w:t xml:space="preserve">” (Black, 2010).  Nursing educators must acclimate the delivery of course content to the millennial student’s instructional needs in order to meet course objectives and prepare the student for the workforce.  This paper will discuss six evidence-based strategies around incorporating various games for instruction while providing fun and interactive classroom content that have been proven to meet and exceed the students’ expectations while delivering complex nursing course content.  These game-based teaching strategies have been shown to enhance the learners’ motivation, enthusiasm, comprehension, and overall satisfaction in nursing education.  The strategies discussed from this synthesis could also assist nursing educators in creating a fun and exciting learning environment that students could enjoy while learning the various complex concepts in nursing.   </w:t>
      </w:r>
    </w:p>
    <w:p w14:paraId="66C9B187" w14:textId="77777777" w:rsidR="00E25D96" w:rsidRPr="00A30B4E" w:rsidRDefault="00E25D96" w:rsidP="00E25D96">
      <w:pPr>
        <w:spacing w:line="480" w:lineRule="auto"/>
        <w:rPr>
          <w:rFonts w:ascii="Times New Roman" w:hAnsi="Times New Roman" w:cs="Times New Roman"/>
          <w:i/>
          <w:sz w:val="24"/>
          <w:szCs w:val="24"/>
        </w:rPr>
      </w:pPr>
      <w:r>
        <w:rPr>
          <w:rFonts w:ascii="Times New Roman" w:hAnsi="Times New Roman" w:cs="Times New Roman"/>
          <w:color w:val="000000" w:themeColor="text1"/>
          <w:sz w:val="24"/>
          <w:szCs w:val="24"/>
        </w:rPr>
        <w:tab/>
        <w:t xml:space="preserve">Keywords: </w:t>
      </w:r>
      <w:r>
        <w:rPr>
          <w:rFonts w:ascii="Times New Roman" w:hAnsi="Times New Roman" w:cs="Times New Roman"/>
          <w:i/>
          <w:color w:val="000000" w:themeColor="text1"/>
          <w:sz w:val="24"/>
          <w:szCs w:val="24"/>
        </w:rPr>
        <w:t>Nursing students, Games, Education, Teaching strategies</w:t>
      </w:r>
    </w:p>
    <w:p w14:paraId="0CCC82FF" w14:textId="77777777" w:rsidR="000E350A" w:rsidRPr="00E25D96" w:rsidRDefault="000E350A" w:rsidP="00E25D96">
      <w:bookmarkStart w:id="1" w:name="_GoBack"/>
      <w:bookmarkEnd w:id="0"/>
      <w:bookmarkEnd w:id="1"/>
    </w:p>
    <w:sectPr w:rsidR="000E350A" w:rsidRPr="00E25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8F"/>
    <w:rsid w:val="00032F8E"/>
    <w:rsid w:val="000E350A"/>
    <w:rsid w:val="00A27E8F"/>
    <w:rsid w:val="00E25D96"/>
    <w:rsid w:val="00F25463"/>
    <w:rsid w:val="00FD4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CC2D"/>
  <w15:chartTrackingRefBased/>
  <w15:docId w15:val="{73CB699F-39AB-4A24-BBD0-8F363CF2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6738</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Weinberg, Tina</dc:creator>
  <cp:keywords/>
  <dc:description/>
  <cp:lastModifiedBy>Weinberg, Tina</cp:lastModifiedBy>
  <cp:revision>2</cp:revision>
  <dcterms:created xsi:type="dcterms:W3CDTF">2019-05-21T22:00:00Z</dcterms:created>
  <dcterms:modified xsi:type="dcterms:W3CDTF">2019-06-10T22:01:00Z</dcterms:modified>
</cp:coreProperties>
</file>