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F5841" w14:textId="77777777" w:rsidR="00B34C19" w:rsidRDefault="00B34C19" w:rsidP="00B34C19">
      <w:pPr>
        <w:spacing w:line="360" w:lineRule="auto"/>
        <w:jc w:val="both"/>
        <w:rPr>
          <w:sz w:val="24"/>
          <w:lang w:val="en-GB"/>
        </w:rPr>
      </w:pPr>
      <w:bookmarkStart w:id="0" w:name="_Hlk508645644"/>
      <w:r w:rsidRPr="00AD5FB7">
        <w:rPr>
          <w:b/>
          <w:sz w:val="24"/>
          <w:lang w:val="en-GB"/>
        </w:rPr>
        <w:t>Background:</w:t>
      </w:r>
      <w:r>
        <w:rPr>
          <w:sz w:val="24"/>
          <w:lang w:val="en-GB"/>
        </w:rPr>
        <w:t xml:space="preserve"> Child undernutrition is a prevalent health problem and poses various short and long-term consequences. </w:t>
      </w:r>
    </w:p>
    <w:p w14:paraId="1FF97C0C" w14:textId="77777777" w:rsidR="00B34C19" w:rsidRDefault="00B34C19" w:rsidP="00B34C19">
      <w:pPr>
        <w:spacing w:line="360" w:lineRule="auto"/>
        <w:jc w:val="both"/>
        <w:rPr>
          <w:sz w:val="24"/>
          <w:lang w:val="en-GB"/>
        </w:rPr>
      </w:pPr>
      <w:r w:rsidRPr="00AD5FB7">
        <w:rPr>
          <w:b/>
          <w:sz w:val="24"/>
          <w:lang w:val="en-GB"/>
        </w:rPr>
        <w:t xml:space="preserve">Objective: </w:t>
      </w:r>
      <w:r>
        <w:rPr>
          <w:sz w:val="24"/>
          <w:lang w:val="en-GB"/>
        </w:rPr>
        <w:t xml:space="preserve">This study seeks to investigate the burden of child undernutrition and its drivers in Kilte Awlaelo-Health and Demographic Surveillance Site, Tigray, northern Ethiopia.  </w:t>
      </w:r>
    </w:p>
    <w:p w14:paraId="4118A84F" w14:textId="77777777" w:rsidR="00B34C19" w:rsidRPr="00790FC3" w:rsidRDefault="00B34C19" w:rsidP="00B34C19">
      <w:pPr>
        <w:spacing w:line="360" w:lineRule="auto"/>
        <w:jc w:val="both"/>
        <w:rPr>
          <w:sz w:val="24"/>
          <w:lang w:val="en-GB"/>
        </w:rPr>
      </w:pPr>
      <w:r>
        <w:rPr>
          <w:b/>
          <w:sz w:val="24"/>
          <w:lang w:val="en-GB"/>
        </w:rPr>
        <w:t>Methods</w:t>
      </w:r>
      <w:r w:rsidRPr="00AD5FB7">
        <w:rPr>
          <w:b/>
          <w:sz w:val="24"/>
          <w:lang w:val="en-GB"/>
        </w:rPr>
        <w:t>:</w:t>
      </w:r>
      <w:r>
        <w:rPr>
          <w:b/>
          <w:sz w:val="24"/>
          <w:lang w:val="en-GB"/>
        </w:rPr>
        <w:t xml:space="preserve"> </w:t>
      </w:r>
      <w:r w:rsidRPr="00723680">
        <w:rPr>
          <w:sz w:val="24"/>
          <w:lang w:val="en-GB"/>
        </w:rPr>
        <w:t>In 2015,</w:t>
      </w:r>
      <w:r>
        <w:rPr>
          <w:b/>
          <w:sz w:val="24"/>
          <w:lang w:val="en-GB"/>
        </w:rPr>
        <w:t xml:space="preserve"> </w:t>
      </w:r>
      <w:r>
        <w:rPr>
          <w:sz w:val="24"/>
          <w:lang w:val="en-GB"/>
        </w:rPr>
        <w:t xml:space="preserve">cross-sectional data were collected from 1, 525 children aged 6-23 months. Maternal and child nutritional status was assessed using </w:t>
      </w:r>
      <w:r w:rsidRPr="007F0B93">
        <w:rPr>
          <w:sz w:val="24"/>
          <w:lang w:val="en-GB"/>
        </w:rPr>
        <w:t>the mid upper arm circumference</w:t>
      </w:r>
      <w:r>
        <w:rPr>
          <w:sz w:val="24"/>
          <w:lang w:val="en-GB"/>
        </w:rPr>
        <w:t xml:space="preserve">. </w:t>
      </w:r>
      <w:r w:rsidRPr="007F0B93">
        <w:rPr>
          <w:sz w:val="24"/>
          <w:lang w:val="en-GB"/>
        </w:rPr>
        <w:t xml:space="preserve">Child’s dietary diversity score was </w:t>
      </w:r>
      <w:r>
        <w:rPr>
          <w:sz w:val="24"/>
          <w:lang w:val="en-GB"/>
        </w:rPr>
        <w:t>calculated</w:t>
      </w:r>
      <w:r w:rsidRPr="007F0B93">
        <w:rPr>
          <w:sz w:val="24"/>
          <w:lang w:val="en-GB"/>
        </w:rPr>
        <w:t xml:space="preserve"> using </w:t>
      </w:r>
      <w:r>
        <w:rPr>
          <w:sz w:val="24"/>
          <w:lang w:val="en-GB"/>
        </w:rPr>
        <w:t>24-</w:t>
      </w:r>
      <w:r w:rsidRPr="007F0B93">
        <w:rPr>
          <w:sz w:val="24"/>
          <w:lang w:val="en-GB"/>
        </w:rPr>
        <w:t>h</w:t>
      </w:r>
      <w:r>
        <w:rPr>
          <w:sz w:val="24"/>
          <w:lang w:val="en-GB"/>
        </w:rPr>
        <w:t>ours</w:t>
      </w:r>
      <w:r w:rsidRPr="007F0B93">
        <w:rPr>
          <w:sz w:val="24"/>
          <w:lang w:val="en-GB"/>
        </w:rPr>
        <w:t xml:space="preserve"> </w:t>
      </w:r>
      <w:r>
        <w:rPr>
          <w:sz w:val="24"/>
          <w:lang w:val="en-GB"/>
        </w:rPr>
        <w:t>dietary</w:t>
      </w:r>
      <w:r w:rsidRPr="007F0B93">
        <w:rPr>
          <w:sz w:val="24"/>
          <w:lang w:val="en-GB"/>
        </w:rPr>
        <w:t xml:space="preserve"> recall method</w:t>
      </w:r>
      <w:r>
        <w:rPr>
          <w:sz w:val="24"/>
          <w:lang w:val="en-GB"/>
        </w:rPr>
        <w:t>.</w:t>
      </w:r>
      <w:r w:rsidRPr="00790FC3">
        <w:rPr>
          <w:sz w:val="24"/>
          <w:lang w:val="en-GB"/>
        </w:rPr>
        <w:t xml:space="preserve"> Log-binomial regression and partial proportional odds model</w:t>
      </w:r>
      <w:r>
        <w:rPr>
          <w:sz w:val="24"/>
          <w:lang w:val="en-GB"/>
        </w:rPr>
        <w:t xml:space="preserve"> </w:t>
      </w:r>
      <w:r w:rsidRPr="00790FC3">
        <w:rPr>
          <w:sz w:val="24"/>
          <w:lang w:val="en-GB"/>
        </w:rPr>
        <w:t xml:space="preserve">were fitted to examine the </w:t>
      </w:r>
      <w:r>
        <w:rPr>
          <w:sz w:val="24"/>
          <w:lang w:val="en-GB"/>
        </w:rPr>
        <w:t xml:space="preserve">drivers </w:t>
      </w:r>
      <w:r w:rsidRPr="00790FC3">
        <w:rPr>
          <w:sz w:val="24"/>
          <w:lang w:val="en-GB"/>
        </w:rPr>
        <w:t xml:space="preserve">of </w:t>
      </w:r>
      <w:r>
        <w:rPr>
          <w:sz w:val="24"/>
          <w:lang w:val="en-GB"/>
        </w:rPr>
        <w:t xml:space="preserve">poor </w:t>
      </w:r>
      <w:r w:rsidRPr="00790FC3">
        <w:rPr>
          <w:sz w:val="24"/>
          <w:lang w:val="en-GB"/>
        </w:rPr>
        <w:t>child undernutrition and dietary diversity</w:t>
      </w:r>
      <w:r>
        <w:rPr>
          <w:sz w:val="24"/>
          <w:lang w:val="en-GB"/>
        </w:rPr>
        <w:t>, respectively</w:t>
      </w:r>
      <w:r w:rsidRPr="00790FC3">
        <w:rPr>
          <w:sz w:val="24"/>
          <w:lang w:val="en-GB"/>
        </w:rPr>
        <w:t xml:space="preserve">. </w:t>
      </w:r>
    </w:p>
    <w:p w14:paraId="69FDB145" w14:textId="77777777" w:rsidR="00B34C19" w:rsidRDefault="00B34C19" w:rsidP="00B34C19">
      <w:pPr>
        <w:spacing w:line="360" w:lineRule="auto"/>
        <w:jc w:val="both"/>
        <w:rPr>
          <w:sz w:val="24"/>
        </w:rPr>
      </w:pPr>
      <w:r>
        <w:rPr>
          <w:b/>
          <w:sz w:val="24"/>
          <w:lang w:val="en-GB"/>
        </w:rPr>
        <w:t>Results</w:t>
      </w:r>
      <w:r w:rsidRPr="00AD5FB7">
        <w:rPr>
          <w:b/>
          <w:sz w:val="24"/>
          <w:lang w:val="en-GB"/>
        </w:rPr>
        <w:t>:</w:t>
      </w:r>
      <w:r>
        <w:rPr>
          <w:b/>
          <w:sz w:val="24"/>
          <w:lang w:val="en-GB"/>
        </w:rPr>
        <w:t xml:space="preserve"> </w:t>
      </w:r>
      <w:r>
        <w:rPr>
          <w:sz w:val="24"/>
          <w:lang w:val="en-GB"/>
        </w:rPr>
        <w:t xml:space="preserve">The burden of undernutrition (MUAC &lt;-2 </w:t>
      </w:r>
      <w:r w:rsidRPr="005B25AA">
        <w:rPr>
          <w:sz w:val="24"/>
          <w:lang w:val="en-GB"/>
        </w:rPr>
        <w:t>z</w:t>
      </w:r>
      <w:r>
        <w:rPr>
          <w:sz w:val="24"/>
          <w:lang w:val="en-GB"/>
        </w:rPr>
        <w:t xml:space="preserve">-score) and low child dietary diversity score (&lt; 4 food groups/day) </w:t>
      </w:r>
      <w:r w:rsidRPr="00284168">
        <w:rPr>
          <w:sz w:val="24"/>
          <w:lang w:val="en-GB"/>
        </w:rPr>
        <w:t>was</w:t>
      </w:r>
      <w:r>
        <w:rPr>
          <w:sz w:val="24"/>
          <w:lang w:val="en-GB"/>
        </w:rPr>
        <w:t xml:space="preserve"> </w:t>
      </w:r>
      <w:r w:rsidRPr="00325F93">
        <w:rPr>
          <w:sz w:val="24"/>
          <w:lang w:val="en-GB"/>
        </w:rPr>
        <w:t>13.7% (95% CI: 12.1</w:t>
      </w:r>
      <w:r>
        <w:rPr>
          <w:sz w:val="24"/>
          <w:lang w:val="en-GB"/>
        </w:rPr>
        <w:t xml:space="preserve"> </w:t>
      </w:r>
      <w:r w:rsidRPr="00325F93">
        <w:rPr>
          <w:sz w:val="24"/>
          <w:lang w:val="en-GB"/>
        </w:rPr>
        <w:t xml:space="preserve">- 15.5%) </w:t>
      </w:r>
      <w:r w:rsidRPr="0026392C">
        <w:rPr>
          <w:sz w:val="24"/>
          <w:lang w:val="en-GB"/>
        </w:rPr>
        <w:t>and 81.3% (95%CI: 79.2</w:t>
      </w:r>
      <w:r>
        <w:rPr>
          <w:sz w:val="24"/>
          <w:lang w:val="en-GB"/>
        </w:rPr>
        <w:t xml:space="preserve"> </w:t>
      </w:r>
      <w:r w:rsidRPr="0026392C">
        <w:rPr>
          <w:sz w:val="24"/>
          <w:lang w:val="en-GB"/>
        </w:rPr>
        <w:t>-</w:t>
      </w:r>
      <w:r>
        <w:rPr>
          <w:sz w:val="24"/>
          <w:lang w:val="en-GB"/>
        </w:rPr>
        <w:t xml:space="preserve"> </w:t>
      </w:r>
      <w:r w:rsidRPr="0026392C">
        <w:rPr>
          <w:sz w:val="24"/>
          <w:lang w:val="en-GB"/>
        </w:rPr>
        <w:t>83.</w:t>
      </w:r>
      <w:r>
        <w:rPr>
          <w:sz w:val="24"/>
          <w:lang w:val="en-GB"/>
        </w:rPr>
        <w:t>1</w:t>
      </w:r>
      <w:r w:rsidRPr="0026392C">
        <w:rPr>
          <w:sz w:val="24"/>
          <w:lang w:val="en-GB"/>
        </w:rPr>
        <w:t>%), respectively. Maternal undernutrition (</w:t>
      </w:r>
      <w:r>
        <w:rPr>
          <w:sz w:val="24"/>
          <w:lang w:val="en-GB"/>
        </w:rPr>
        <w:t xml:space="preserve">adjusted prevalence ratio, 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>=1.4</w:t>
      </w:r>
      <w:r>
        <w:rPr>
          <w:sz w:val="24"/>
          <w:lang w:val="en-GB"/>
        </w:rPr>
        <w:t>7</w:t>
      </w:r>
      <w:r w:rsidRPr="0026392C">
        <w:rPr>
          <w:sz w:val="24"/>
          <w:lang w:val="en-GB"/>
        </w:rPr>
        <w:t xml:space="preserve">; 95%CI: </w:t>
      </w:r>
      <w:r w:rsidRPr="00325F93">
        <w:rPr>
          <w:sz w:val="24"/>
          <w:lang w:val="en-GB"/>
        </w:rPr>
        <w:t>1.14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1.89</w:t>
      </w:r>
      <w:r w:rsidRPr="0026392C">
        <w:rPr>
          <w:sz w:val="24"/>
          <w:lang w:val="en-GB"/>
        </w:rPr>
        <w:t xml:space="preserve">), </w:t>
      </w:r>
      <w:r>
        <w:rPr>
          <w:sz w:val="24"/>
          <w:lang w:val="en-GB"/>
        </w:rPr>
        <w:t xml:space="preserve">low child dietary diversity score </w:t>
      </w:r>
      <w:r w:rsidRPr="0026392C">
        <w:rPr>
          <w:sz w:val="24"/>
          <w:lang w:val="en-GB"/>
        </w:rPr>
        <w:t>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>=1.9</w:t>
      </w:r>
      <w:r>
        <w:rPr>
          <w:sz w:val="24"/>
          <w:lang w:val="en-GB"/>
        </w:rPr>
        <w:t>0</w:t>
      </w:r>
      <w:r w:rsidRPr="0026392C">
        <w:rPr>
          <w:sz w:val="24"/>
          <w:lang w:val="en-GB"/>
        </w:rPr>
        <w:t xml:space="preserve">; 95%CI: </w:t>
      </w:r>
      <w:r w:rsidRPr="00325F93">
        <w:rPr>
          <w:sz w:val="24"/>
          <w:lang w:val="en-GB"/>
        </w:rPr>
        <w:t>1.22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2.97</w:t>
      </w:r>
      <w:r w:rsidRPr="0026392C">
        <w:rPr>
          <w:sz w:val="24"/>
          <w:lang w:val="en-GB"/>
        </w:rPr>
        <w:t>), and morbidity 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>=1.8</w:t>
      </w:r>
      <w:r>
        <w:rPr>
          <w:sz w:val="24"/>
          <w:lang w:val="en-GB"/>
        </w:rPr>
        <w:t>3</w:t>
      </w:r>
      <w:r w:rsidRPr="0026392C">
        <w:rPr>
          <w:sz w:val="24"/>
          <w:lang w:val="en-GB"/>
        </w:rPr>
        <w:t xml:space="preserve">; 95%CI: </w:t>
      </w:r>
      <w:r w:rsidRPr="00325F93">
        <w:rPr>
          <w:sz w:val="24"/>
          <w:lang w:val="en-GB"/>
        </w:rPr>
        <w:t>1.15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2.92</w:t>
      </w:r>
      <w:r w:rsidRPr="0026392C">
        <w:rPr>
          <w:sz w:val="24"/>
          <w:lang w:val="en-GB"/>
        </w:rPr>
        <w:t>) were the key nutrition-specific drivers of child undernutrition. The nutrition-sensitive drivers were household poverty 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 xml:space="preserve"> </w:t>
      </w:r>
      <w:bookmarkStart w:id="1" w:name="_GoBack"/>
      <w:bookmarkEnd w:id="1"/>
      <w:r w:rsidRPr="0026392C">
        <w:rPr>
          <w:sz w:val="24"/>
          <w:lang w:val="en-GB"/>
        </w:rPr>
        <w:t>poor=0.6</w:t>
      </w:r>
      <w:r>
        <w:rPr>
          <w:sz w:val="24"/>
          <w:lang w:val="en-GB"/>
        </w:rPr>
        <w:t xml:space="preserve">5 </w:t>
      </w:r>
      <w:r w:rsidRPr="0026392C">
        <w:rPr>
          <w:sz w:val="24"/>
          <w:lang w:val="en-GB"/>
        </w:rPr>
        <w:t>[95%CI</w:t>
      </w:r>
      <w:r>
        <w:rPr>
          <w:sz w:val="24"/>
          <w:lang w:val="en-GB"/>
        </w:rPr>
        <w:t>:</w:t>
      </w:r>
      <w:r w:rsidRPr="00325F93">
        <w:rPr>
          <w:sz w:val="24"/>
          <w:lang w:val="en-GB"/>
        </w:rPr>
        <w:t>0.45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0.93</w:t>
      </w:r>
      <w:r w:rsidRPr="0026392C">
        <w:rPr>
          <w:sz w:val="24"/>
          <w:lang w:val="en-GB"/>
        </w:rPr>
        <w:t xml:space="preserve">], 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 xml:space="preserve"> medium=0.64 [95%CI</w:t>
      </w:r>
      <w:r>
        <w:rPr>
          <w:sz w:val="24"/>
          <w:lang w:val="en-GB"/>
        </w:rPr>
        <w:t>:</w:t>
      </w:r>
      <w:r w:rsidRPr="0026392C">
        <w:rPr>
          <w:sz w:val="24"/>
          <w:lang w:val="en-GB"/>
        </w:rPr>
        <w:t xml:space="preserve"> </w:t>
      </w:r>
      <w:r w:rsidRPr="00325F93">
        <w:rPr>
          <w:sz w:val="24"/>
          <w:lang w:val="en-GB"/>
        </w:rPr>
        <w:t>0.44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0.93</w:t>
      </w:r>
      <w:r w:rsidRPr="0026392C">
        <w:rPr>
          <w:sz w:val="24"/>
          <w:lang w:val="en-GB"/>
        </w:rPr>
        <w:t xml:space="preserve">], 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 xml:space="preserve"> wealthy=0.46 [95%CI</w:t>
      </w:r>
      <w:r>
        <w:rPr>
          <w:sz w:val="24"/>
          <w:lang w:val="en-GB"/>
        </w:rPr>
        <w:t>:</w:t>
      </w:r>
      <w:r w:rsidRPr="0026392C">
        <w:rPr>
          <w:sz w:val="24"/>
          <w:lang w:val="en-GB"/>
        </w:rPr>
        <w:t xml:space="preserve"> 0.30</w:t>
      </w:r>
      <w:r>
        <w:rPr>
          <w:sz w:val="24"/>
          <w:lang w:val="en-GB"/>
        </w:rPr>
        <w:t xml:space="preserve"> - </w:t>
      </w:r>
      <w:r w:rsidRPr="0026392C">
        <w:rPr>
          <w:sz w:val="24"/>
          <w:lang w:val="en-GB"/>
        </w:rPr>
        <w:t xml:space="preserve">0.70], and 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 xml:space="preserve"> wealthiest=0.53 [95%CI</w:t>
      </w:r>
      <w:r>
        <w:rPr>
          <w:sz w:val="24"/>
          <w:lang w:val="en-GB"/>
        </w:rPr>
        <w:t>:</w:t>
      </w:r>
      <w:r w:rsidRPr="0026392C">
        <w:rPr>
          <w:sz w:val="24"/>
          <w:lang w:val="en-GB"/>
        </w:rPr>
        <w:t xml:space="preserve"> </w:t>
      </w:r>
      <w:r w:rsidRPr="00325F93">
        <w:rPr>
          <w:sz w:val="24"/>
          <w:lang w:val="en-GB"/>
        </w:rPr>
        <w:t>0.34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0.82</w:t>
      </w:r>
      <w:r w:rsidRPr="0026392C">
        <w:rPr>
          <w:sz w:val="24"/>
          <w:lang w:val="en-GB"/>
        </w:rPr>
        <w:t>]), larger household size 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>=1.</w:t>
      </w:r>
      <w:r>
        <w:rPr>
          <w:sz w:val="24"/>
          <w:lang w:val="en-GB"/>
        </w:rPr>
        <w:t>10</w:t>
      </w:r>
      <w:r w:rsidRPr="0026392C">
        <w:rPr>
          <w:sz w:val="24"/>
          <w:lang w:val="en-GB"/>
        </w:rPr>
        <w:t xml:space="preserve">; 95%CI: </w:t>
      </w:r>
      <w:r w:rsidRPr="00325F93">
        <w:rPr>
          <w:sz w:val="24"/>
          <w:lang w:val="en-GB"/>
        </w:rPr>
        <w:t>1.02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1.18</w:t>
      </w:r>
      <w:r w:rsidRPr="0026392C">
        <w:rPr>
          <w:sz w:val="24"/>
          <w:lang w:val="en-GB"/>
        </w:rPr>
        <w:t>), household head</w:t>
      </w:r>
      <w:r>
        <w:rPr>
          <w:sz w:val="24"/>
          <w:lang w:val="en-GB"/>
        </w:rPr>
        <w:t>’s employment insecurity</w:t>
      </w:r>
      <w:r w:rsidRPr="0026392C">
        <w:rPr>
          <w:sz w:val="24"/>
          <w:lang w:val="en-GB"/>
        </w:rPr>
        <w:t xml:space="preserve"> 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 xml:space="preserve">=2.10; 95%CI: </w:t>
      </w:r>
      <w:r w:rsidRPr="00325F93">
        <w:rPr>
          <w:sz w:val="24"/>
          <w:lang w:val="en-GB"/>
        </w:rPr>
        <w:t>1.43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3.09</w:t>
      </w:r>
      <w:r w:rsidRPr="0026392C">
        <w:rPr>
          <w:sz w:val="24"/>
          <w:lang w:val="en-GB"/>
        </w:rPr>
        <w:t>), and residing in highlands (</w:t>
      </w:r>
      <w:proofErr w:type="spellStart"/>
      <w:r w:rsidRPr="0026392C">
        <w:rPr>
          <w:sz w:val="24"/>
          <w:lang w:val="en-GB"/>
        </w:rPr>
        <w:t>adjPR</w:t>
      </w:r>
      <w:proofErr w:type="spellEnd"/>
      <w:r w:rsidRPr="0026392C">
        <w:rPr>
          <w:sz w:val="24"/>
          <w:lang w:val="en-GB"/>
        </w:rPr>
        <w:t>=1.9</w:t>
      </w:r>
      <w:r>
        <w:rPr>
          <w:sz w:val="24"/>
          <w:lang w:val="en-GB"/>
        </w:rPr>
        <w:t>3</w:t>
      </w:r>
      <w:r w:rsidRPr="0026392C">
        <w:rPr>
          <w:sz w:val="24"/>
          <w:lang w:val="en-GB"/>
        </w:rPr>
        <w:t xml:space="preserve">; 95%CI: </w:t>
      </w:r>
      <w:r w:rsidRPr="00325F93">
        <w:rPr>
          <w:sz w:val="24"/>
          <w:lang w:val="en-GB"/>
        </w:rPr>
        <w:t>1.36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2.75</w:t>
      </w:r>
      <w:r w:rsidRPr="0026392C">
        <w:rPr>
          <w:sz w:val="24"/>
          <w:lang w:val="en-GB"/>
        </w:rPr>
        <w:t xml:space="preserve">). </w:t>
      </w:r>
      <w:r>
        <w:rPr>
          <w:sz w:val="24"/>
          <w:lang w:val="en-GB"/>
        </w:rPr>
        <w:t>The data shows that higher child dietary diversity</w:t>
      </w:r>
      <w:r w:rsidRPr="00325F93">
        <w:rPr>
          <w:sz w:val="24"/>
          <w:lang w:val="en-GB"/>
        </w:rPr>
        <w:t xml:space="preserve"> </w:t>
      </w:r>
      <w:r>
        <w:rPr>
          <w:sz w:val="24"/>
          <w:lang w:val="en-GB"/>
        </w:rPr>
        <w:t>was positively associated with wealth</w:t>
      </w:r>
      <w:r w:rsidRPr="00325F93">
        <w:rPr>
          <w:sz w:val="24"/>
          <w:lang w:val="en-GB"/>
        </w:rPr>
        <w:t xml:space="preserve"> (adjusted odds ratio, </w:t>
      </w:r>
      <w:proofErr w:type="spellStart"/>
      <w:r w:rsidRPr="00325F93">
        <w:rPr>
          <w:sz w:val="24"/>
          <w:lang w:val="en-GB"/>
        </w:rPr>
        <w:t>adjOR</w:t>
      </w:r>
      <w:proofErr w:type="spellEnd"/>
      <w:r w:rsidRPr="00325F93">
        <w:rPr>
          <w:sz w:val="24"/>
          <w:lang w:val="en-GB"/>
        </w:rPr>
        <w:t xml:space="preserve"> wealthy=3.06 [95%CI</w:t>
      </w:r>
      <w:r>
        <w:rPr>
          <w:sz w:val="24"/>
          <w:lang w:val="en-GB"/>
        </w:rPr>
        <w:t>:</w:t>
      </w:r>
      <w:r w:rsidRPr="00325F93">
        <w:rPr>
          <w:sz w:val="24"/>
          <w:lang w:val="en-GB"/>
        </w:rPr>
        <w:t xml:space="preserve"> 1.88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 xml:space="preserve">4.99], </w:t>
      </w:r>
      <w:proofErr w:type="spellStart"/>
      <w:r w:rsidRPr="00325F93">
        <w:rPr>
          <w:sz w:val="24"/>
          <w:lang w:val="en-GB"/>
        </w:rPr>
        <w:t>adjOR</w:t>
      </w:r>
      <w:proofErr w:type="spellEnd"/>
      <w:r w:rsidRPr="00325F93">
        <w:rPr>
          <w:sz w:val="24"/>
          <w:lang w:val="en-GB"/>
        </w:rPr>
        <w:t xml:space="preserve"> wealthiest=2.57 [95%CI</w:t>
      </w:r>
      <w:r>
        <w:rPr>
          <w:sz w:val="24"/>
          <w:lang w:val="en-GB"/>
        </w:rPr>
        <w:t xml:space="preserve">: </w:t>
      </w:r>
      <w:r w:rsidRPr="00325F93">
        <w:rPr>
          <w:sz w:val="24"/>
          <w:lang w:val="en-GB"/>
        </w:rPr>
        <w:t>1.53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4.31])</w:t>
      </w:r>
      <w:r>
        <w:rPr>
          <w:sz w:val="24"/>
          <w:lang w:val="en-GB"/>
        </w:rPr>
        <w:t xml:space="preserve">, and it was inversely associated with lack of diverse food crops production in highlands </w:t>
      </w:r>
      <w:r w:rsidRPr="00325F93">
        <w:rPr>
          <w:sz w:val="24"/>
          <w:lang w:val="en-GB"/>
        </w:rPr>
        <w:t>(</w:t>
      </w:r>
      <w:proofErr w:type="spellStart"/>
      <w:r w:rsidRPr="00325F93">
        <w:rPr>
          <w:sz w:val="24"/>
          <w:lang w:val="en-GB"/>
        </w:rPr>
        <w:t>adjOR</w:t>
      </w:r>
      <w:proofErr w:type="spellEnd"/>
      <w:r w:rsidRPr="00325F93">
        <w:rPr>
          <w:sz w:val="24"/>
          <w:lang w:val="en-GB"/>
        </w:rPr>
        <w:t>=0.23</w:t>
      </w:r>
      <w:r>
        <w:rPr>
          <w:sz w:val="24"/>
          <w:lang w:val="en-GB"/>
        </w:rPr>
        <w:t xml:space="preserve">; </w:t>
      </w:r>
      <w:r w:rsidRPr="00325F93">
        <w:rPr>
          <w:sz w:val="24"/>
          <w:lang w:val="en-GB"/>
        </w:rPr>
        <w:t>95%CI</w:t>
      </w:r>
      <w:r>
        <w:rPr>
          <w:sz w:val="24"/>
          <w:lang w:val="en-GB"/>
        </w:rPr>
        <w:t>:</w:t>
      </w:r>
      <w:r w:rsidRPr="00325F93">
        <w:rPr>
          <w:sz w:val="24"/>
          <w:lang w:val="en-GB"/>
        </w:rPr>
        <w:t xml:space="preserve"> 0.10</w:t>
      </w:r>
      <w:r>
        <w:rPr>
          <w:sz w:val="24"/>
          <w:lang w:val="en-GB"/>
        </w:rPr>
        <w:t xml:space="preserve"> - </w:t>
      </w:r>
      <w:r w:rsidRPr="00325F93">
        <w:rPr>
          <w:sz w:val="24"/>
          <w:lang w:val="en-GB"/>
        </w:rPr>
        <w:t>0.57])</w:t>
      </w:r>
      <w:r>
        <w:rPr>
          <w:sz w:val="24"/>
          <w:lang w:val="en-GB"/>
        </w:rPr>
        <w:t xml:space="preserve">. </w:t>
      </w:r>
    </w:p>
    <w:p w14:paraId="44868459" w14:textId="77777777" w:rsidR="00B34C19" w:rsidRPr="008A2674" w:rsidRDefault="00B34C19" w:rsidP="00B34C19">
      <w:pPr>
        <w:spacing w:line="360" w:lineRule="auto"/>
        <w:jc w:val="both"/>
        <w:rPr>
          <w:rFonts w:cs="Calibri"/>
        </w:rPr>
      </w:pPr>
      <w:r w:rsidRPr="006D5C5B">
        <w:rPr>
          <w:b/>
          <w:sz w:val="24"/>
        </w:rPr>
        <w:t xml:space="preserve">Conclusions: </w:t>
      </w:r>
      <w:r w:rsidRPr="005B7142">
        <w:rPr>
          <w:sz w:val="24"/>
        </w:rPr>
        <w:t>Our findings suggest that the</w:t>
      </w:r>
      <w:r>
        <w:rPr>
          <w:sz w:val="24"/>
        </w:rPr>
        <w:t xml:space="preserve"> burden of poor child nutrition is very high in the study area. </w:t>
      </w:r>
      <w:r w:rsidRPr="006B727C">
        <w:rPr>
          <w:sz w:val="24"/>
        </w:rPr>
        <w:t xml:space="preserve">Multi-sectoral collaboration and cross-disciplinary interventions between agriculture, health and nutrition sectors are recommended to address the child undernutrition in resource poor and food insecure rural communities of similar settings. </w:t>
      </w:r>
    </w:p>
    <w:bookmarkEnd w:id="0"/>
    <w:p w14:paraId="4D6D6CAF" w14:textId="153078B8" w:rsidR="00B34C19" w:rsidRPr="00A83754" w:rsidRDefault="00B34C19" w:rsidP="00A83754">
      <w:pPr>
        <w:spacing w:line="360" w:lineRule="auto"/>
        <w:jc w:val="both"/>
        <w:rPr>
          <w:sz w:val="24"/>
        </w:rPr>
      </w:pPr>
    </w:p>
    <w:sectPr w:rsidR="00B34C19" w:rsidRPr="00A83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19"/>
    <w:rsid w:val="006E7273"/>
    <w:rsid w:val="00A83754"/>
    <w:rsid w:val="00B3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5AEBC"/>
  <w15:chartTrackingRefBased/>
  <w15:docId w15:val="{CFD840E5-6D73-4B85-AA9B-A15E4FFA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34C19"/>
    <w:rPr>
      <w:rFonts w:eastAsia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semaw abera</dc:creator>
  <cp:keywords/>
  <dc:description/>
  <cp:lastModifiedBy>Semaw</cp:lastModifiedBy>
  <cp:revision>2</cp:revision>
  <dcterms:created xsi:type="dcterms:W3CDTF">2019-12-26T12:55:00Z</dcterms:created>
  <dcterms:modified xsi:type="dcterms:W3CDTF">2019-12-26T12:55:00Z</dcterms:modified>
</cp:coreProperties>
</file>