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0A42DA" w14:textId="1299CBD7" w:rsidR="00D1044F" w:rsidRDefault="00D1044F" w:rsidP="00D1044F">
      <w:pPr>
        <w:jc w:val="right"/>
        <w:rPr>
          <w:rFonts w:asciiTheme="majorBidi" w:hAnsiTheme="majorBidi" w:cstheme="majorBidi"/>
          <w:b/>
          <w:bCs/>
          <w:sz w:val="28"/>
          <w:szCs w:val="28"/>
        </w:rPr>
      </w:pPr>
      <w:r>
        <w:rPr>
          <w:rFonts w:asciiTheme="minorBidi" w:hAnsiTheme="minorBidi"/>
          <w:b/>
          <w:bCs/>
          <w:noProof/>
        </w:rPr>
        <w:drawing>
          <wp:inline distT="0" distB="0" distL="0" distR="0" wp14:anchorId="23B98958" wp14:editId="312DB825">
            <wp:extent cx="1094105" cy="809928"/>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sser.jpg"/>
                    <pic:cNvPicPr/>
                  </pic:nvPicPr>
                  <pic:blipFill>
                    <a:blip r:embed="rId6" cstate="print">
                      <a:extLst>
                        <a:ext uri="{BEBA8EAE-BF5A-486C-A8C5-ECC9F3942E4B}">
                          <a14:imgProps xmlns:a14="http://schemas.microsoft.com/office/drawing/2010/main">
                            <a14:imgLayer r:embed="rId7">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1130330" cy="836744"/>
                    </a:xfrm>
                    <a:prstGeom prst="rect">
                      <a:avLst/>
                    </a:prstGeom>
                  </pic:spPr>
                </pic:pic>
              </a:graphicData>
            </a:graphic>
          </wp:inline>
        </w:drawing>
      </w:r>
    </w:p>
    <w:p w14:paraId="41567A4A" w14:textId="12112C72" w:rsidR="00D1044F" w:rsidRPr="00D1044F" w:rsidRDefault="00D1044F" w:rsidP="00D1044F">
      <w:pPr>
        <w:jc w:val="both"/>
        <w:rPr>
          <w:rFonts w:asciiTheme="majorBidi" w:hAnsiTheme="majorBidi" w:cstheme="majorBidi"/>
          <w:b/>
          <w:bCs/>
          <w:sz w:val="28"/>
          <w:szCs w:val="28"/>
        </w:rPr>
      </w:pPr>
      <w:r w:rsidRPr="00D1044F">
        <w:rPr>
          <w:rFonts w:asciiTheme="majorBidi" w:hAnsiTheme="majorBidi" w:cstheme="majorBidi"/>
          <w:b/>
          <w:bCs/>
          <w:sz w:val="28"/>
          <w:szCs w:val="28"/>
        </w:rPr>
        <w:t>Title: New nurses’ transition to professional practice: a scoping review</w:t>
      </w:r>
    </w:p>
    <w:p w14:paraId="2D9E44F9" w14:textId="77777777" w:rsidR="00D1044F" w:rsidRPr="00D1044F" w:rsidRDefault="00D1044F" w:rsidP="00D1044F">
      <w:pPr>
        <w:jc w:val="both"/>
        <w:rPr>
          <w:rFonts w:asciiTheme="majorBidi" w:hAnsiTheme="majorBidi" w:cstheme="majorBidi"/>
          <w:b/>
          <w:bCs/>
          <w:sz w:val="28"/>
          <w:szCs w:val="28"/>
        </w:rPr>
      </w:pPr>
    </w:p>
    <w:p w14:paraId="2BC8C100" w14:textId="77777777" w:rsidR="00D1044F" w:rsidRPr="00D1044F" w:rsidRDefault="00D1044F" w:rsidP="00D1044F">
      <w:pPr>
        <w:jc w:val="center"/>
        <w:rPr>
          <w:rFonts w:asciiTheme="majorBidi" w:hAnsiTheme="majorBidi" w:cstheme="majorBidi"/>
          <w:b/>
          <w:bCs/>
          <w:sz w:val="28"/>
          <w:szCs w:val="28"/>
        </w:rPr>
      </w:pPr>
      <w:r w:rsidRPr="00D1044F">
        <w:rPr>
          <w:rFonts w:asciiTheme="majorBidi" w:hAnsiTheme="majorBidi" w:cstheme="majorBidi"/>
          <w:b/>
          <w:bCs/>
          <w:sz w:val="28"/>
          <w:szCs w:val="28"/>
        </w:rPr>
        <w:t xml:space="preserve">Nasser </w:t>
      </w:r>
      <w:proofErr w:type="spellStart"/>
      <w:r w:rsidRPr="00D1044F">
        <w:rPr>
          <w:rFonts w:asciiTheme="majorBidi" w:hAnsiTheme="majorBidi" w:cstheme="majorBidi"/>
          <w:b/>
          <w:bCs/>
          <w:sz w:val="28"/>
          <w:szCs w:val="28"/>
        </w:rPr>
        <w:t>Aldosari</w:t>
      </w:r>
      <w:proofErr w:type="spellEnd"/>
    </w:p>
    <w:p w14:paraId="4FA0EDD9" w14:textId="5D0A67CA" w:rsidR="00D1044F" w:rsidRPr="00D1044F" w:rsidRDefault="00D1044F" w:rsidP="00D1044F">
      <w:pPr>
        <w:jc w:val="center"/>
        <w:rPr>
          <w:rFonts w:asciiTheme="majorBidi" w:hAnsiTheme="majorBidi" w:cstheme="majorBidi"/>
          <w:b/>
          <w:bCs/>
          <w:sz w:val="28"/>
          <w:szCs w:val="28"/>
        </w:rPr>
      </w:pPr>
      <w:r w:rsidRPr="00D1044F">
        <w:rPr>
          <w:rFonts w:asciiTheme="majorBidi" w:hAnsiTheme="majorBidi" w:cstheme="majorBidi"/>
          <w:b/>
          <w:bCs/>
          <w:sz w:val="28"/>
          <w:szCs w:val="28"/>
        </w:rPr>
        <w:t>University of Manchester, UK</w:t>
      </w:r>
    </w:p>
    <w:p w14:paraId="6BD1774B" w14:textId="77777777" w:rsidR="00D1044F" w:rsidRPr="00D1044F" w:rsidRDefault="00D1044F" w:rsidP="00D1044F">
      <w:pPr>
        <w:jc w:val="center"/>
        <w:rPr>
          <w:rFonts w:asciiTheme="majorBidi" w:hAnsiTheme="majorBidi" w:cstheme="majorBidi"/>
        </w:rPr>
      </w:pPr>
    </w:p>
    <w:p w14:paraId="5DDA73CD" w14:textId="77777777" w:rsidR="00D1044F" w:rsidRPr="00D1044F" w:rsidRDefault="00D1044F" w:rsidP="00D1044F">
      <w:pPr>
        <w:jc w:val="both"/>
        <w:rPr>
          <w:rFonts w:asciiTheme="majorBidi" w:hAnsiTheme="majorBidi" w:cstheme="majorBidi"/>
        </w:rPr>
      </w:pPr>
    </w:p>
    <w:p w14:paraId="20996D8B" w14:textId="77777777" w:rsidR="00D1044F" w:rsidRPr="00D1044F" w:rsidRDefault="00D1044F" w:rsidP="00D1044F">
      <w:pPr>
        <w:spacing w:line="276" w:lineRule="auto"/>
        <w:jc w:val="both"/>
        <w:rPr>
          <w:rFonts w:asciiTheme="minorBidi" w:hAnsiTheme="minorBidi"/>
          <w:b/>
          <w:bCs/>
        </w:rPr>
      </w:pPr>
      <w:r w:rsidRPr="00D1044F">
        <w:rPr>
          <w:rFonts w:asciiTheme="minorBidi" w:hAnsiTheme="minorBidi"/>
          <w:b/>
          <w:bCs/>
        </w:rPr>
        <w:t>Background</w:t>
      </w:r>
    </w:p>
    <w:p w14:paraId="390C40D1" w14:textId="77777777" w:rsidR="00D1044F" w:rsidRPr="00D1044F" w:rsidRDefault="00D1044F" w:rsidP="00D1044F">
      <w:pPr>
        <w:spacing w:line="276" w:lineRule="auto"/>
        <w:jc w:val="both"/>
        <w:rPr>
          <w:rFonts w:asciiTheme="minorBidi" w:hAnsiTheme="minorBidi"/>
        </w:rPr>
      </w:pPr>
    </w:p>
    <w:p w14:paraId="261F6B2B" w14:textId="77777777" w:rsidR="00D1044F" w:rsidRPr="00D1044F" w:rsidRDefault="00D1044F" w:rsidP="00D1044F">
      <w:pPr>
        <w:spacing w:line="276" w:lineRule="auto"/>
        <w:jc w:val="both"/>
        <w:rPr>
          <w:rFonts w:asciiTheme="minorBidi" w:hAnsiTheme="minorBidi"/>
        </w:rPr>
      </w:pPr>
      <w:r w:rsidRPr="00D1044F">
        <w:rPr>
          <w:rFonts w:asciiTheme="minorBidi" w:hAnsiTheme="minorBidi"/>
        </w:rPr>
        <w:t>The global shortage of nurses is linked to a decrease in healthcare quality and an increase in patient mortality. While older nurses retiring from the workforce largely contributes this shortage, it is further exacerbated by the number of recently qualified nurses leaving. Nurses intending to quit cite work dissatisfaction due to workload, pressure, or quality of management/support (NMC, 2019). The initial experience of transitioning from school to professional practice is referred to as “reality shock”, (Kramer, 1974) and is considered a primary reason for turnover. Consequently, healthcare providers develop new incentives to create sustainable healthy work environments that encouraged professional development, potentially improved nurses’ retention rates, and prevented increases in anticipated turnover.</w:t>
      </w:r>
    </w:p>
    <w:p w14:paraId="1E5F10E9" w14:textId="77777777" w:rsidR="00D1044F" w:rsidRPr="00D1044F" w:rsidRDefault="00D1044F" w:rsidP="00D1044F">
      <w:pPr>
        <w:spacing w:line="276" w:lineRule="auto"/>
        <w:jc w:val="both"/>
        <w:rPr>
          <w:rFonts w:asciiTheme="minorBidi" w:hAnsiTheme="minorBidi"/>
        </w:rPr>
      </w:pPr>
    </w:p>
    <w:p w14:paraId="40188EA4" w14:textId="77777777" w:rsidR="00D1044F" w:rsidRPr="00D1044F" w:rsidRDefault="00D1044F" w:rsidP="00D1044F">
      <w:pPr>
        <w:spacing w:line="276" w:lineRule="auto"/>
        <w:jc w:val="both"/>
        <w:rPr>
          <w:rFonts w:asciiTheme="minorBidi" w:hAnsiTheme="minorBidi"/>
          <w:b/>
          <w:bCs/>
        </w:rPr>
      </w:pPr>
      <w:r w:rsidRPr="00D1044F">
        <w:rPr>
          <w:rFonts w:asciiTheme="minorBidi" w:hAnsiTheme="minorBidi"/>
          <w:b/>
          <w:bCs/>
        </w:rPr>
        <w:t>Purpose</w:t>
      </w:r>
    </w:p>
    <w:p w14:paraId="0924F4CF" w14:textId="77777777" w:rsidR="00D1044F" w:rsidRPr="00D1044F" w:rsidRDefault="00D1044F" w:rsidP="00D1044F">
      <w:pPr>
        <w:spacing w:line="276" w:lineRule="auto"/>
        <w:jc w:val="both"/>
        <w:rPr>
          <w:rFonts w:asciiTheme="minorBidi" w:hAnsiTheme="minorBidi"/>
        </w:rPr>
      </w:pPr>
    </w:p>
    <w:p w14:paraId="69D06AC2" w14:textId="77777777" w:rsidR="00D1044F" w:rsidRPr="00D1044F" w:rsidRDefault="00D1044F" w:rsidP="00D1044F">
      <w:pPr>
        <w:spacing w:line="276" w:lineRule="auto"/>
        <w:jc w:val="both"/>
        <w:rPr>
          <w:rFonts w:asciiTheme="minorBidi" w:hAnsiTheme="minorBidi"/>
        </w:rPr>
      </w:pPr>
      <w:r w:rsidRPr="00D1044F">
        <w:rPr>
          <w:rFonts w:asciiTheme="minorBidi" w:hAnsiTheme="minorBidi"/>
        </w:rPr>
        <w:t>To systematically map literature available on new graduate nurses’ (NGNs) transition experience from students to qualified nurses using the scoping review methodology to examine:</w:t>
      </w:r>
    </w:p>
    <w:p w14:paraId="7B9C9234" w14:textId="77777777" w:rsidR="00D1044F" w:rsidRPr="00D1044F" w:rsidRDefault="00D1044F" w:rsidP="00D1044F">
      <w:pPr>
        <w:spacing w:line="276" w:lineRule="auto"/>
        <w:jc w:val="both"/>
        <w:rPr>
          <w:rFonts w:asciiTheme="minorBidi" w:hAnsiTheme="minorBidi"/>
        </w:rPr>
      </w:pPr>
      <w:r w:rsidRPr="00D1044F">
        <w:rPr>
          <w:rFonts w:asciiTheme="minorBidi" w:hAnsiTheme="minorBidi"/>
        </w:rPr>
        <w:t>1.</w:t>
      </w:r>
      <w:r w:rsidRPr="00D1044F">
        <w:rPr>
          <w:rFonts w:asciiTheme="minorBidi" w:hAnsiTheme="minorBidi"/>
        </w:rPr>
        <w:tab/>
        <w:t>Key informants’ experiences during NGNs’ transition from school to professional practice.</w:t>
      </w:r>
    </w:p>
    <w:p w14:paraId="40A1CD27" w14:textId="77777777" w:rsidR="00D1044F" w:rsidRPr="00D1044F" w:rsidRDefault="00D1044F" w:rsidP="00D1044F">
      <w:pPr>
        <w:spacing w:line="276" w:lineRule="auto"/>
        <w:jc w:val="both"/>
        <w:rPr>
          <w:rFonts w:asciiTheme="minorBidi" w:hAnsiTheme="minorBidi"/>
        </w:rPr>
      </w:pPr>
      <w:r w:rsidRPr="00D1044F">
        <w:rPr>
          <w:rFonts w:asciiTheme="minorBidi" w:hAnsiTheme="minorBidi"/>
        </w:rPr>
        <w:t>2.</w:t>
      </w:r>
      <w:r w:rsidRPr="00D1044F">
        <w:rPr>
          <w:rFonts w:asciiTheme="minorBidi" w:hAnsiTheme="minorBidi"/>
        </w:rPr>
        <w:tab/>
        <w:t>post-qualification training programmes that have been implemented to support NGNs during the transition period.</w:t>
      </w:r>
    </w:p>
    <w:p w14:paraId="1A48192D" w14:textId="77777777" w:rsidR="00D1044F" w:rsidRPr="00D1044F" w:rsidRDefault="00D1044F" w:rsidP="00D1044F">
      <w:pPr>
        <w:spacing w:line="276" w:lineRule="auto"/>
        <w:jc w:val="both"/>
        <w:rPr>
          <w:rFonts w:asciiTheme="minorBidi" w:hAnsiTheme="minorBidi"/>
        </w:rPr>
      </w:pPr>
    </w:p>
    <w:p w14:paraId="5AFA9C2D" w14:textId="33C617BC" w:rsidR="00D1044F" w:rsidRPr="00D1044F" w:rsidRDefault="00D1044F" w:rsidP="00D1044F">
      <w:pPr>
        <w:spacing w:line="276" w:lineRule="auto"/>
        <w:jc w:val="both"/>
        <w:rPr>
          <w:rFonts w:asciiTheme="minorBidi" w:hAnsiTheme="minorBidi"/>
        </w:rPr>
      </w:pPr>
    </w:p>
    <w:p w14:paraId="5B465977" w14:textId="77777777" w:rsidR="00D1044F" w:rsidRPr="00D1044F" w:rsidRDefault="00D1044F" w:rsidP="00D1044F">
      <w:pPr>
        <w:spacing w:line="276" w:lineRule="auto"/>
        <w:jc w:val="both"/>
        <w:rPr>
          <w:rFonts w:asciiTheme="minorBidi" w:hAnsiTheme="minorBidi"/>
          <w:b/>
          <w:bCs/>
        </w:rPr>
      </w:pPr>
      <w:r w:rsidRPr="00D1044F">
        <w:rPr>
          <w:rFonts w:asciiTheme="minorBidi" w:hAnsiTheme="minorBidi"/>
          <w:b/>
          <w:bCs/>
        </w:rPr>
        <w:t xml:space="preserve">Results </w:t>
      </w:r>
    </w:p>
    <w:p w14:paraId="34E31262" w14:textId="77777777" w:rsidR="00D1044F" w:rsidRPr="00D1044F" w:rsidRDefault="00D1044F" w:rsidP="00D1044F">
      <w:pPr>
        <w:spacing w:line="276" w:lineRule="auto"/>
        <w:jc w:val="both"/>
        <w:rPr>
          <w:rFonts w:asciiTheme="minorBidi" w:hAnsiTheme="minorBidi"/>
        </w:rPr>
      </w:pPr>
    </w:p>
    <w:p w14:paraId="55962603" w14:textId="67F1DA42" w:rsidR="00D1044F" w:rsidRDefault="00D1044F" w:rsidP="00D1044F">
      <w:pPr>
        <w:spacing w:line="276" w:lineRule="auto"/>
        <w:jc w:val="both"/>
        <w:rPr>
          <w:rFonts w:asciiTheme="minorBidi" w:hAnsiTheme="minorBidi"/>
        </w:rPr>
      </w:pPr>
      <w:r w:rsidRPr="00D1044F">
        <w:rPr>
          <w:rFonts w:asciiTheme="minorBidi" w:hAnsiTheme="minorBidi"/>
        </w:rPr>
        <w:t xml:space="preserve">Nursing </w:t>
      </w:r>
      <w:r w:rsidR="00094903" w:rsidRPr="00D1044F">
        <w:rPr>
          <w:rFonts w:asciiTheme="minorBidi" w:hAnsiTheme="minorBidi"/>
        </w:rPr>
        <w:t>transition</w:t>
      </w:r>
      <w:r w:rsidRPr="00D1044F">
        <w:rPr>
          <w:rFonts w:asciiTheme="minorBidi" w:hAnsiTheme="minorBidi"/>
        </w:rPr>
        <w:t xml:space="preserve"> programmes (NTP) were developed around the globe to smooth the transition experience. Participation in a 12-month NTP was found to be the most beneficial, and it was suggested that they increased new nurses’ confidence and competence. </w:t>
      </w:r>
      <w:r w:rsidR="00094903" w:rsidRPr="00D1044F">
        <w:rPr>
          <w:rFonts w:asciiTheme="minorBidi" w:hAnsiTheme="minorBidi"/>
        </w:rPr>
        <w:t>Furthermore</w:t>
      </w:r>
      <w:r w:rsidRPr="00D1044F">
        <w:rPr>
          <w:rFonts w:asciiTheme="minorBidi" w:hAnsiTheme="minorBidi"/>
        </w:rPr>
        <w:t>, they demonstrated some financial benefit to hiring organisations, which offset the cost of new hire turnover. Many of these results, however, were inconclusive, due to how the data was collected and verified. Factors such as programme length, implementation of ward rotations, financial compensation to complete programmes, and quality and dedication of preceptors also played a role in the perceived success of these types of programs on retention rates</w:t>
      </w:r>
    </w:p>
    <w:p w14:paraId="13226B82" w14:textId="3444FC77" w:rsidR="00D1044F" w:rsidRPr="00D1044F" w:rsidRDefault="00D1044F" w:rsidP="00D1044F">
      <w:pPr>
        <w:spacing w:line="276" w:lineRule="auto"/>
        <w:jc w:val="both"/>
        <w:rPr>
          <w:rFonts w:asciiTheme="minorBidi" w:hAnsiTheme="minorBidi"/>
        </w:rPr>
      </w:pPr>
      <w:r w:rsidRPr="00D1044F">
        <w:rPr>
          <w:rFonts w:asciiTheme="minorBidi" w:hAnsiTheme="minorBidi"/>
          <w:b/>
          <w:bCs/>
        </w:rPr>
        <w:lastRenderedPageBreak/>
        <w:t>Biography</w:t>
      </w:r>
    </w:p>
    <w:p w14:paraId="2A831532" w14:textId="77777777" w:rsidR="00D1044F" w:rsidRPr="00D1044F" w:rsidRDefault="00D1044F" w:rsidP="00D1044F">
      <w:pPr>
        <w:jc w:val="both"/>
        <w:rPr>
          <w:rFonts w:asciiTheme="minorBidi" w:hAnsiTheme="minorBidi"/>
        </w:rPr>
      </w:pPr>
    </w:p>
    <w:p w14:paraId="01D0F722" w14:textId="2FDC0E09" w:rsidR="00D1044F" w:rsidRPr="00D1044F" w:rsidRDefault="00D1044F" w:rsidP="00D1044F">
      <w:pPr>
        <w:jc w:val="both"/>
        <w:rPr>
          <w:rFonts w:asciiTheme="minorBidi" w:hAnsiTheme="minorBidi"/>
        </w:rPr>
      </w:pPr>
      <w:r w:rsidRPr="00D1044F">
        <w:rPr>
          <w:rFonts w:asciiTheme="minorBidi" w:hAnsiTheme="minorBidi"/>
        </w:rPr>
        <w:t>Nasser is a PhD student at the University</w:t>
      </w:r>
      <w:r>
        <w:rPr>
          <w:rFonts w:asciiTheme="minorBidi" w:hAnsiTheme="minorBidi"/>
        </w:rPr>
        <w:t xml:space="preserve"> </w:t>
      </w:r>
      <w:r w:rsidRPr="00D1044F">
        <w:rPr>
          <w:rFonts w:asciiTheme="minorBidi" w:hAnsiTheme="minorBidi"/>
        </w:rPr>
        <w:t xml:space="preserve">of Manchester, and this review of literature is part of his doctoral thesis. He has completed his bachelor degree in Nursing in Australia, and a MSc in nursing from the UK. </w:t>
      </w:r>
    </w:p>
    <w:p w14:paraId="48A59045" w14:textId="77777777" w:rsidR="00D1044F" w:rsidRPr="00D1044F" w:rsidRDefault="00D1044F" w:rsidP="00D1044F">
      <w:pPr>
        <w:jc w:val="both"/>
        <w:rPr>
          <w:rFonts w:asciiTheme="minorBidi" w:hAnsiTheme="minorBidi"/>
        </w:rPr>
      </w:pPr>
    </w:p>
    <w:p w14:paraId="129C7466" w14:textId="77777777" w:rsidR="00D1044F" w:rsidRPr="00D1044F" w:rsidRDefault="00D1044F" w:rsidP="00D1044F">
      <w:pPr>
        <w:jc w:val="both"/>
        <w:rPr>
          <w:rFonts w:asciiTheme="minorBidi" w:hAnsiTheme="minorBidi"/>
        </w:rPr>
      </w:pPr>
    </w:p>
    <w:p w14:paraId="172A228E" w14:textId="77777777" w:rsidR="00D1044F" w:rsidRPr="00D1044F" w:rsidRDefault="00D1044F" w:rsidP="00D1044F">
      <w:pPr>
        <w:jc w:val="both"/>
        <w:rPr>
          <w:rFonts w:asciiTheme="minorBidi" w:hAnsiTheme="minorBidi"/>
          <w:b/>
          <w:bCs/>
        </w:rPr>
      </w:pPr>
      <w:r w:rsidRPr="00D1044F">
        <w:rPr>
          <w:rFonts w:asciiTheme="minorBidi" w:hAnsiTheme="minorBidi"/>
          <w:b/>
          <w:bCs/>
        </w:rPr>
        <w:t xml:space="preserve">Presenting author details </w:t>
      </w:r>
    </w:p>
    <w:p w14:paraId="467C6F96" w14:textId="77777777" w:rsidR="00D1044F" w:rsidRPr="00D1044F" w:rsidRDefault="00D1044F" w:rsidP="00D1044F">
      <w:pPr>
        <w:jc w:val="both"/>
        <w:rPr>
          <w:rFonts w:asciiTheme="minorBidi" w:hAnsiTheme="minorBidi"/>
        </w:rPr>
      </w:pPr>
    </w:p>
    <w:p w14:paraId="2ED1AAB4" w14:textId="77777777" w:rsidR="00D1044F" w:rsidRPr="00D1044F" w:rsidRDefault="00D1044F" w:rsidP="00D1044F">
      <w:pPr>
        <w:jc w:val="both"/>
        <w:rPr>
          <w:rFonts w:asciiTheme="minorBidi" w:hAnsiTheme="minorBidi"/>
        </w:rPr>
      </w:pPr>
      <w:r w:rsidRPr="00D1044F">
        <w:rPr>
          <w:rFonts w:asciiTheme="minorBidi" w:hAnsiTheme="minorBidi"/>
        </w:rPr>
        <w:t xml:space="preserve">Full name: Nasser </w:t>
      </w:r>
      <w:proofErr w:type="spellStart"/>
      <w:r w:rsidRPr="00D1044F">
        <w:rPr>
          <w:rFonts w:asciiTheme="minorBidi" w:hAnsiTheme="minorBidi"/>
        </w:rPr>
        <w:t>Aldosari</w:t>
      </w:r>
      <w:proofErr w:type="spellEnd"/>
    </w:p>
    <w:p w14:paraId="3C8E93BB" w14:textId="77777777" w:rsidR="00D1044F" w:rsidRPr="00D1044F" w:rsidRDefault="00D1044F" w:rsidP="00D1044F">
      <w:pPr>
        <w:jc w:val="both"/>
        <w:rPr>
          <w:rFonts w:asciiTheme="minorBidi" w:hAnsiTheme="minorBidi"/>
        </w:rPr>
      </w:pPr>
      <w:r w:rsidRPr="00D1044F">
        <w:rPr>
          <w:rFonts w:asciiTheme="minorBidi" w:hAnsiTheme="minorBidi"/>
        </w:rPr>
        <w:t>Contact number: +447580503020</w:t>
      </w:r>
    </w:p>
    <w:p w14:paraId="44C64CB1" w14:textId="2788E61A" w:rsidR="00D1044F" w:rsidRPr="00D1044F" w:rsidRDefault="00D1044F" w:rsidP="00D1044F">
      <w:pPr>
        <w:jc w:val="both"/>
        <w:rPr>
          <w:rFonts w:asciiTheme="minorBidi" w:hAnsiTheme="minorBidi"/>
        </w:rPr>
      </w:pPr>
      <w:r w:rsidRPr="00D1044F">
        <w:rPr>
          <w:rFonts w:asciiTheme="minorBidi" w:hAnsiTheme="minorBidi"/>
        </w:rPr>
        <w:t xml:space="preserve">Twitter account: </w:t>
      </w:r>
      <w:bookmarkStart w:id="0" w:name="_GoBack"/>
      <w:bookmarkEnd w:id="0"/>
      <w:proofErr w:type="spellStart"/>
      <w:r w:rsidRPr="00D1044F">
        <w:rPr>
          <w:rFonts w:asciiTheme="minorBidi" w:hAnsiTheme="minorBidi"/>
        </w:rPr>
        <w:t>nmdhaa</w:t>
      </w:r>
      <w:proofErr w:type="spellEnd"/>
    </w:p>
    <w:p w14:paraId="06790163" w14:textId="77777777" w:rsidR="00D1044F" w:rsidRPr="00D1044F" w:rsidRDefault="00D1044F" w:rsidP="00D1044F">
      <w:pPr>
        <w:jc w:val="both"/>
        <w:rPr>
          <w:rFonts w:asciiTheme="minorBidi" w:hAnsiTheme="minorBidi"/>
        </w:rPr>
      </w:pPr>
      <w:r w:rsidRPr="00D1044F">
        <w:rPr>
          <w:rFonts w:asciiTheme="minorBidi" w:hAnsiTheme="minorBidi"/>
        </w:rPr>
        <w:t>Linked In account:</w:t>
      </w:r>
    </w:p>
    <w:p w14:paraId="6B36F9B2" w14:textId="77777777" w:rsidR="00D1044F" w:rsidRPr="00D1044F" w:rsidRDefault="00D1044F" w:rsidP="00D1044F">
      <w:pPr>
        <w:jc w:val="both"/>
        <w:rPr>
          <w:rFonts w:asciiTheme="minorBidi" w:hAnsiTheme="minorBidi"/>
        </w:rPr>
      </w:pPr>
      <w:r w:rsidRPr="00D1044F">
        <w:rPr>
          <w:rFonts w:asciiTheme="minorBidi" w:hAnsiTheme="minorBidi"/>
        </w:rPr>
        <w:t>Session name/ number: Poster</w:t>
      </w:r>
    </w:p>
    <w:p w14:paraId="37160D7D" w14:textId="77777777" w:rsidR="00D1044F" w:rsidRPr="00D1044F" w:rsidRDefault="00D1044F" w:rsidP="00D1044F">
      <w:pPr>
        <w:jc w:val="both"/>
        <w:rPr>
          <w:rFonts w:asciiTheme="minorBidi" w:hAnsiTheme="minorBidi"/>
        </w:rPr>
      </w:pPr>
      <w:r w:rsidRPr="00D1044F">
        <w:rPr>
          <w:rFonts w:asciiTheme="minorBidi" w:hAnsiTheme="minorBidi"/>
        </w:rPr>
        <w:t>Category: (Poster presentation)</w:t>
      </w:r>
    </w:p>
    <w:p w14:paraId="7EE97014" w14:textId="77777777" w:rsidR="000023BE" w:rsidRPr="00D1044F" w:rsidRDefault="000023BE" w:rsidP="00D1044F">
      <w:pPr>
        <w:jc w:val="both"/>
        <w:rPr>
          <w:rFonts w:asciiTheme="majorBidi" w:hAnsiTheme="majorBidi" w:cstheme="majorBidi"/>
        </w:rPr>
      </w:pPr>
    </w:p>
    <w:sectPr w:rsidR="000023BE" w:rsidRPr="00D1044F" w:rsidSect="00D1044F">
      <w:pgSz w:w="11900" w:h="16840"/>
      <w:pgMar w:top="1148"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9DC8DA" w14:textId="77777777" w:rsidR="005B25E1" w:rsidRDefault="005B25E1" w:rsidP="00D1044F">
      <w:r>
        <w:separator/>
      </w:r>
    </w:p>
  </w:endnote>
  <w:endnote w:type="continuationSeparator" w:id="0">
    <w:p w14:paraId="075E5546" w14:textId="77777777" w:rsidR="005B25E1" w:rsidRDefault="005B25E1" w:rsidP="00D10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C58D0D" w14:textId="77777777" w:rsidR="005B25E1" w:rsidRDefault="005B25E1" w:rsidP="00D1044F">
      <w:r>
        <w:separator/>
      </w:r>
    </w:p>
  </w:footnote>
  <w:footnote w:type="continuationSeparator" w:id="0">
    <w:p w14:paraId="05F66BDE" w14:textId="77777777" w:rsidR="005B25E1" w:rsidRDefault="005B25E1" w:rsidP="00D104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44F"/>
    <w:rsid w:val="000023BE"/>
    <w:rsid w:val="00094903"/>
    <w:rsid w:val="00101F30"/>
    <w:rsid w:val="005B25E1"/>
    <w:rsid w:val="007A74F5"/>
    <w:rsid w:val="00D104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22F082"/>
  <w15:chartTrackingRefBased/>
  <w15:docId w15:val="{8C65C55A-579B-8C47-9829-1DB64398A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44F"/>
    <w:pPr>
      <w:tabs>
        <w:tab w:val="center" w:pos="4680"/>
        <w:tab w:val="right" w:pos="9360"/>
      </w:tabs>
    </w:pPr>
  </w:style>
  <w:style w:type="character" w:customStyle="1" w:styleId="HeaderChar">
    <w:name w:val="Header Char"/>
    <w:basedOn w:val="DefaultParagraphFont"/>
    <w:link w:val="Header"/>
    <w:uiPriority w:val="99"/>
    <w:rsid w:val="00D1044F"/>
    <w:rPr>
      <w:lang w:val="en-GB"/>
    </w:rPr>
  </w:style>
  <w:style w:type="paragraph" w:styleId="Footer">
    <w:name w:val="footer"/>
    <w:basedOn w:val="Normal"/>
    <w:link w:val="FooterChar"/>
    <w:uiPriority w:val="99"/>
    <w:unhideWhenUsed/>
    <w:rsid w:val="00D1044F"/>
    <w:pPr>
      <w:tabs>
        <w:tab w:val="center" w:pos="4680"/>
        <w:tab w:val="right" w:pos="9360"/>
      </w:tabs>
    </w:pPr>
  </w:style>
  <w:style w:type="character" w:customStyle="1" w:styleId="FooterChar">
    <w:name w:val="Footer Char"/>
    <w:basedOn w:val="DefaultParagraphFont"/>
    <w:link w:val="Footer"/>
    <w:uiPriority w:val="99"/>
    <w:rsid w:val="00D1044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07/relationships/hdphoto" Target="media/hdphoto1.wdp"/><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373</Words>
  <Characters>2129</Characters>
  <Application>Microsoft Office Word</Application>
  <DocSecurity>0</DocSecurity>
  <Lines>17</Lines>
  <Paragraphs>4</Paragraphs>
  <ScaleCrop>false</ScaleCrop>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Nasser</dc:creator>
  <cp:keywords/>
  <dc:description/>
  <cp:lastModifiedBy>Nasser</cp:lastModifiedBy>
  <cp:revision>2</cp:revision>
  <dcterms:created xsi:type="dcterms:W3CDTF">2019-12-16T09:12:00Z</dcterms:created>
  <dcterms:modified xsi:type="dcterms:W3CDTF">2019-12-16T09:26:00Z</dcterms:modified>
</cp:coreProperties>
</file>