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rPr>
          <w:rFonts w:ascii="Times New Roman"/>
          <w:sz w:val="28"/>
        </w:rPr>
      </w:pPr>
      <w:r w:rsidR="00000000" w:rsidDel="00000000" w:rsidRPr="00000000">
        <w:rPr>
          <w:rtl w:val="0"/>
          <w:rFonts w:ascii="Times New Roman"/>
          <w:sz w:val="28"/>
        </w:rPr>
        <w:t>a multidisciplinary team model for vascular services in an NHS hospital in Yorkshire, UK</w:t>
      </w:r>
    </w:p>
    <w:p>
      <w:r>
        <w:t>Sahar Musaad, Neeraj Bhasin, Kate Humphries, Gill Sykes, Alex Henderson, Duncan Parry, Satheesh Hanavadi, Anver Mohammed, Bev Sweeney</w:t>
      </w:r>
    </w:p>
    <w:p>
      <w:r>
        <w:t>Calderdale and Huddersfield NHS Foundation Trust, Acre street, lindley, Huddersfield HD3 3EA, UK</w:t>
      </w:r>
    </w:p>
    <w:p>
      <w:r/>
    </w:p>
    <w:p>
      <w:r/>
    </w:p>
    <w:p>
      <w:r/>
    </w:p>
    <w:p>
      <w:r>
        <w:t>Dedicated Vascular in patient wards can be complex,containing patients ranging from diabetic foot infections, to emergency aortic abdominal aneurysm repairs. Patients are often chronically ill with comorbidities, and getting these patients' problems addressed requires anything from 2 - 8 professional services' input , and a coordinated, well communicated multi disciplinary approach. However,getting these patients seen by the various specialties in order to optimize therapy during the acute period, and put forward a long term plan is taxing, and challenging at times. There is often a delay in reviewing the patients by one or more services, leading to prolonged hospital stay, with all that incurs of physical, financial and psychological burden on the patient and hospital. Antimicrobials are often indicated and appropriate antimicrobial stewardship is dependent on many factors, often dictated not only by patient clinical condition but also other issues such as operability of the infection and/ or ability to discharge home on Outpatient antimicrobial therapy (OPAT). Here we describe an award winning model, whereby once a week, we arrange a time such that these patients are seen by a team on the ward. The Team consisting of: treating surgeon (s), nurse in charge, patient specific nurse, ward pharmacist, dedicated microbiologist, podiatrist, dedicated physiotherapist, +/- tissue viability nurse.</w:t>
      </w:r>
    </w:p>
    <w:sectPr>
      <w:pgNumType w:start="1"/>
      <w:pgSz w:w="12240" w:h="15840"/>
      <w:pgMar w:left="1440" w:right="1440" w:top="1440" w:bottom="1440" w:header="720" w:footer="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Arial"/>
  <w:font w:name="Calibri"/>
  <w:font w:name="Cambria"/>
  <w:font w:name="Symbol"/>
  <w:font w:name="Courier New"/>
  <w:font w:name="Times New Roman"/>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