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23500" w14:textId="616BC56C" w:rsidR="00773CBC" w:rsidRDefault="00773CBC" w:rsidP="00B123FF">
      <w:pPr>
        <w:autoSpaceDE w:val="0"/>
        <w:autoSpaceDN w:val="0"/>
        <w:adjustRightInd w:val="0"/>
        <w:rPr>
          <w:rFonts w:ascii="Comic Sans MS" w:eastAsiaTheme="majorEastAsia" w:hAnsi="Comic Sans MS" w:cstheme="majorBidi"/>
          <w:b/>
          <w:bCs/>
          <w:i/>
          <w:iCs/>
          <w:color w:val="0070C0"/>
          <w:kern w:val="24"/>
          <w:sz w:val="32"/>
          <w:szCs w:val="32"/>
        </w:rPr>
      </w:pPr>
      <w:r w:rsidRPr="00773CBC">
        <w:rPr>
          <w:rFonts w:ascii="Comic Sans MS" w:eastAsiaTheme="majorEastAsia" w:hAnsi="Comic Sans MS" w:cstheme="majorBidi"/>
          <w:b/>
          <w:bCs/>
          <w:i/>
          <w:iCs/>
          <w:color w:val="0070C0"/>
          <w:kern w:val="24"/>
          <w:sz w:val="32"/>
          <w:szCs w:val="32"/>
        </w:rPr>
        <w:t>Prevalence and risk factors of adverse birth outcomes in the Pacific Island region: a scoping review</w:t>
      </w:r>
    </w:p>
    <w:p w14:paraId="7E81B20C" w14:textId="77777777" w:rsidR="00773CBC" w:rsidRPr="00773CBC" w:rsidRDefault="00773CBC" w:rsidP="00B123FF">
      <w:pPr>
        <w:autoSpaceDE w:val="0"/>
        <w:autoSpaceDN w:val="0"/>
        <w:adjustRightInd w:val="0"/>
        <w:rPr>
          <w:rFonts w:ascii="Comic Sans MS" w:eastAsiaTheme="majorEastAsia" w:hAnsi="Comic Sans MS" w:cstheme="majorBidi"/>
          <w:b/>
          <w:bCs/>
          <w:i/>
          <w:iCs/>
          <w:color w:val="0070C0"/>
          <w:kern w:val="24"/>
          <w:sz w:val="32"/>
          <w:szCs w:val="32"/>
        </w:rPr>
      </w:pPr>
    </w:p>
    <w:p w14:paraId="00A6C4A0" w14:textId="2743A01D" w:rsidR="00B123FF" w:rsidRPr="00773CBC" w:rsidRDefault="00B123FF" w:rsidP="00B123FF">
      <w:pPr>
        <w:autoSpaceDE w:val="0"/>
        <w:autoSpaceDN w:val="0"/>
        <w:adjustRightInd w:val="0"/>
        <w:rPr>
          <w:rFonts w:ascii="Arial" w:hAnsi="Arial" w:cs="Arial"/>
          <w:color w:val="000000" w:themeColor="text1"/>
          <w:sz w:val="17"/>
          <w:szCs w:val="17"/>
        </w:rPr>
      </w:pPr>
      <w:r w:rsidRPr="00773CBC">
        <w:rPr>
          <w:rFonts w:ascii="Arial" w:hAnsi="Arial" w:cs="Arial"/>
          <w:color w:val="000000" w:themeColor="text1"/>
          <w:sz w:val="17"/>
          <w:szCs w:val="17"/>
        </w:rPr>
        <w:t xml:space="preserve">Lydia S.K. Kaforau RN, PhD Candidate </w:t>
      </w:r>
    </w:p>
    <w:p w14:paraId="45DA0D5A" w14:textId="5832763F" w:rsidR="00B123FF" w:rsidRPr="00773CBC" w:rsidRDefault="00B123FF" w:rsidP="00B123FF">
      <w:pPr>
        <w:autoSpaceDE w:val="0"/>
        <w:autoSpaceDN w:val="0"/>
        <w:adjustRightInd w:val="0"/>
        <w:rPr>
          <w:rFonts w:ascii="Arial" w:hAnsi="Arial" w:cs="Arial"/>
          <w:color w:val="000000" w:themeColor="text1"/>
          <w:sz w:val="11"/>
          <w:szCs w:val="11"/>
        </w:rPr>
      </w:pPr>
      <w:r w:rsidRPr="00773CBC">
        <w:rPr>
          <w:rFonts w:ascii="Arial" w:hAnsi="Arial" w:cs="Arial"/>
          <w:color w:val="000000" w:themeColor="text1"/>
          <w:sz w:val="17"/>
          <w:szCs w:val="17"/>
        </w:rPr>
        <w:t xml:space="preserve">Gizachew A Tessema, Academic, PhD </w:t>
      </w:r>
    </w:p>
    <w:p w14:paraId="64702EE3" w14:textId="53133B7E" w:rsidR="00B123FF" w:rsidRPr="00773CBC" w:rsidRDefault="00B123FF" w:rsidP="00B123FF">
      <w:pPr>
        <w:autoSpaceDE w:val="0"/>
        <w:autoSpaceDN w:val="0"/>
        <w:adjustRightInd w:val="0"/>
        <w:rPr>
          <w:rFonts w:ascii="Arial" w:hAnsi="Arial" w:cs="Arial"/>
          <w:color w:val="000000" w:themeColor="text1"/>
          <w:sz w:val="11"/>
          <w:szCs w:val="11"/>
        </w:rPr>
      </w:pPr>
      <w:r w:rsidRPr="00773CBC">
        <w:rPr>
          <w:rFonts w:ascii="Arial" w:hAnsi="Arial" w:cs="Arial"/>
          <w:color w:val="000000" w:themeColor="text1"/>
          <w:sz w:val="17"/>
          <w:szCs w:val="17"/>
        </w:rPr>
        <w:t xml:space="preserve">Jonine Jancey, Senior Academic Researcher, Professor, PhD </w:t>
      </w:r>
    </w:p>
    <w:p w14:paraId="73FA1984" w14:textId="52D7D491" w:rsidR="00B123FF" w:rsidRPr="00773CBC" w:rsidRDefault="00B123FF" w:rsidP="00B123FF">
      <w:pPr>
        <w:autoSpaceDE w:val="0"/>
        <w:autoSpaceDN w:val="0"/>
        <w:adjustRightInd w:val="0"/>
        <w:rPr>
          <w:rFonts w:ascii="Arial" w:hAnsi="Arial" w:cs="Arial"/>
          <w:color w:val="000000" w:themeColor="text1"/>
          <w:sz w:val="11"/>
          <w:szCs w:val="11"/>
        </w:rPr>
      </w:pPr>
      <w:r w:rsidRPr="00773CBC">
        <w:rPr>
          <w:rFonts w:ascii="Arial" w:hAnsi="Arial" w:cs="Arial"/>
          <w:color w:val="000000" w:themeColor="text1"/>
          <w:sz w:val="17"/>
          <w:szCs w:val="17"/>
        </w:rPr>
        <w:t>Gursimran Dhamrait, Academic, PhD Candidate</w:t>
      </w:r>
    </w:p>
    <w:p w14:paraId="51206946" w14:textId="3A7D2AE6" w:rsidR="00B123FF" w:rsidRPr="00773CBC" w:rsidRDefault="00B123FF" w:rsidP="00B123FF">
      <w:pPr>
        <w:autoSpaceDE w:val="0"/>
        <w:autoSpaceDN w:val="0"/>
        <w:adjustRightInd w:val="0"/>
        <w:rPr>
          <w:rFonts w:ascii="Arial" w:hAnsi="Arial" w:cs="Arial"/>
          <w:color w:val="000000" w:themeColor="text1"/>
          <w:sz w:val="17"/>
          <w:szCs w:val="17"/>
        </w:rPr>
      </w:pPr>
      <w:r w:rsidRPr="00773CBC">
        <w:rPr>
          <w:rFonts w:ascii="Arial" w:hAnsi="Arial" w:cs="Arial"/>
          <w:color w:val="000000" w:themeColor="text1"/>
          <w:sz w:val="17"/>
          <w:szCs w:val="17"/>
        </w:rPr>
        <w:t>Hugo Bugoro Senior Academic Researcher, Professor, PhD</w:t>
      </w:r>
    </w:p>
    <w:p w14:paraId="6CE5F669" w14:textId="296F9453" w:rsidR="00B123FF" w:rsidRPr="00773CBC" w:rsidRDefault="00B123FF" w:rsidP="00B123FF">
      <w:pPr>
        <w:autoSpaceDE w:val="0"/>
        <w:autoSpaceDN w:val="0"/>
        <w:adjustRightInd w:val="0"/>
        <w:rPr>
          <w:rFonts w:ascii="Arial" w:hAnsi="Arial" w:cs="Arial"/>
          <w:color w:val="000000" w:themeColor="text1"/>
          <w:sz w:val="11"/>
          <w:szCs w:val="11"/>
        </w:rPr>
      </w:pPr>
      <w:r w:rsidRPr="00773CBC">
        <w:rPr>
          <w:rFonts w:ascii="Arial" w:hAnsi="Arial" w:cs="Arial"/>
          <w:color w:val="000000" w:themeColor="text1"/>
          <w:sz w:val="17"/>
          <w:szCs w:val="17"/>
        </w:rPr>
        <w:t xml:space="preserve"> Gavin Pereira, Senior Academic Researcher, Professor, PhD</w:t>
      </w:r>
    </w:p>
    <w:p w14:paraId="65C4C195" w14:textId="77777777" w:rsidR="00AE3E37" w:rsidRDefault="00AE3E37">
      <w:pPr>
        <w:pStyle w:val="BodyText"/>
        <w:rPr>
          <w:rFonts w:ascii="Arial"/>
          <w:sz w:val="20"/>
        </w:rPr>
      </w:pPr>
    </w:p>
    <w:p w14:paraId="48436CA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DAD6391" w14:textId="6BF2FA39" w:rsidR="00AE3E37" w:rsidRDefault="00A9710C">
      <w:pPr>
        <w:pStyle w:val="Heading3"/>
        <w:spacing w:before="147"/>
        <w:jc w:val="both"/>
        <w:rPr>
          <w:color w:val="BF5A14"/>
        </w:rPr>
      </w:pPr>
      <w:r>
        <w:rPr>
          <w:color w:val="BF5A14"/>
        </w:rPr>
        <w:t>Abstract</w:t>
      </w:r>
    </w:p>
    <w:p w14:paraId="63766047" w14:textId="77777777" w:rsidR="00773CBC" w:rsidRDefault="00773CBC">
      <w:pPr>
        <w:pStyle w:val="Heading3"/>
        <w:spacing w:before="147"/>
        <w:jc w:val="both"/>
      </w:pPr>
    </w:p>
    <w:p w14:paraId="25833FEE" w14:textId="50987330" w:rsidR="00B123FF" w:rsidRPr="00773CBC" w:rsidRDefault="00B123FF" w:rsidP="00A57BEB">
      <w:pPr>
        <w:autoSpaceDE w:val="0"/>
        <w:autoSpaceDN w:val="0"/>
        <w:adjustRightInd w:val="0"/>
        <w:spacing w:line="276" w:lineRule="auto"/>
        <w:rPr>
          <w:rFonts w:cs="Times New Roman"/>
          <w:sz w:val="18"/>
          <w:szCs w:val="18"/>
        </w:rPr>
      </w:pPr>
      <w:r w:rsidRPr="00773CBC">
        <w:rPr>
          <w:rFonts w:cs="Times New Roman"/>
          <w:b/>
          <w:bCs/>
          <w:sz w:val="18"/>
          <w:szCs w:val="18"/>
        </w:rPr>
        <w:t>Background</w:t>
      </w:r>
      <w:r w:rsidR="00773CBC" w:rsidRPr="00773CBC">
        <w:rPr>
          <w:rFonts w:cs="Times New Roman"/>
          <w:b/>
          <w:bCs/>
          <w:sz w:val="18"/>
          <w:szCs w:val="18"/>
        </w:rPr>
        <w:t>:</w:t>
      </w:r>
      <w:r w:rsidRPr="00773CBC">
        <w:rPr>
          <w:rFonts w:cs="Times New Roman"/>
          <w:sz w:val="18"/>
          <w:szCs w:val="18"/>
        </w:rPr>
        <w:t xml:space="preserve"> Prevalence and exposures of adverse birth outcomes is well studied in low-and-middle-income countries but not well-established for the Pacific Island region. Our study mapped the available evidence on low birth weight (LBW), preterm birth, and small for gestational age (SGA)’s prevalence and their corresponding risks in the region.</w:t>
      </w:r>
    </w:p>
    <w:p w14:paraId="3738479B" w14:textId="0387E9F5" w:rsidR="00B123FF" w:rsidRPr="00773CBC" w:rsidRDefault="00B123FF" w:rsidP="00A57BEB">
      <w:pPr>
        <w:autoSpaceDE w:val="0"/>
        <w:autoSpaceDN w:val="0"/>
        <w:adjustRightInd w:val="0"/>
        <w:spacing w:line="276" w:lineRule="auto"/>
        <w:rPr>
          <w:rFonts w:cs="Times New Roman"/>
          <w:sz w:val="18"/>
          <w:szCs w:val="18"/>
        </w:rPr>
      </w:pPr>
      <w:r w:rsidRPr="00773CBC">
        <w:rPr>
          <w:rFonts w:cs="Times New Roman"/>
          <w:b/>
          <w:bCs/>
          <w:sz w:val="18"/>
          <w:szCs w:val="18"/>
        </w:rPr>
        <w:t>Methods</w:t>
      </w:r>
      <w:r w:rsidR="00773CBC" w:rsidRPr="00773CBC">
        <w:rPr>
          <w:rFonts w:cs="Times New Roman"/>
          <w:b/>
          <w:bCs/>
          <w:sz w:val="18"/>
          <w:szCs w:val="18"/>
        </w:rPr>
        <w:t>:</w:t>
      </w:r>
      <w:r w:rsidRPr="00773CBC">
        <w:rPr>
          <w:rFonts w:cs="Times New Roman"/>
          <w:sz w:val="18"/>
          <w:szCs w:val="18"/>
        </w:rPr>
        <w:t xml:space="preserve"> We followed the five-staged Arksey and O’Malley’s framework with clinicians’ consultation in the region. Five scholarly databases and non-indexed studies were searched and extracted data were </w:t>
      </w:r>
      <w:r w:rsidR="004762D5" w:rsidRPr="00773CBC">
        <w:rPr>
          <w:rFonts w:cs="Times New Roman"/>
          <w:sz w:val="18"/>
          <w:szCs w:val="18"/>
        </w:rPr>
        <w:t>analyzed</w:t>
      </w:r>
      <w:r w:rsidRPr="00773CBC">
        <w:rPr>
          <w:rFonts w:cs="Times New Roman"/>
          <w:sz w:val="18"/>
          <w:szCs w:val="18"/>
        </w:rPr>
        <w:t xml:space="preserve"> as numerical and thematic summaries mapping the outcomes and exposures.</w:t>
      </w:r>
    </w:p>
    <w:p w14:paraId="051FDD5A" w14:textId="060D6E46" w:rsidR="00B123FF" w:rsidRPr="00773CBC" w:rsidRDefault="00B123FF" w:rsidP="00A57BEB">
      <w:pPr>
        <w:autoSpaceDE w:val="0"/>
        <w:autoSpaceDN w:val="0"/>
        <w:adjustRightInd w:val="0"/>
        <w:spacing w:line="276" w:lineRule="auto"/>
        <w:rPr>
          <w:rFonts w:cs="Times New Roman"/>
          <w:sz w:val="18"/>
          <w:szCs w:val="18"/>
        </w:rPr>
      </w:pPr>
      <w:r w:rsidRPr="00773CBC">
        <w:rPr>
          <w:rFonts w:cs="Times New Roman"/>
          <w:b/>
          <w:bCs/>
          <w:sz w:val="18"/>
          <w:szCs w:val="18"/>
        </w:rPr>
        <w:t>Findings</w:t>
      </w:r>
      <w:r w:rsidR="00773CBC" w:rsidRPr="00773CBC">
        <w:rPr>
          <w:rFonts w:cs="Times New Roman"/>
          <w:b/>
          <w:bCs/>
          <w:sz w:val="18"/>
          <w:szCs w:val="18"/>
        </w:rPr>
        <w:t>:</w:t>
      </w:r>
      <w:r w:rsidR="00773CBC" w:rsidRPr="00773CBC">
        <w:rPr>
          <w:rFonts w:cs="Times New Roman"/>
          <w:sz w:val="18"/>
          <w:szCs w:val="18"/>
        </w:rPr>
        <w:t xml:space="preserve"> </w:t>
      </w:r>
      <w:r w:rsidRPr="00773CBC">
        <w:rPr>
          <w:rFonts w:cs="Times New Roman"/>
          <w:sz w:val="18"/>
          <w:szCs w:val="18"/>
        </w:rPr>
        <w:t xml:space="preserve">We included 20 studies representing 11 Pacific Island countries with the following mean prevalence and associations at 95% confidence interval. Estimated mean prevalence for LBW and preterm births were 12% and 13%, respectively. LBW were associated with malaria in pregnancy [aOR 3.3 (1.00, 10.60)], and betel nut and tobacco [aOR2.4 (1.00, 6.00)]. Preterm births were associated with malaria in pregnancy [aOR 6.6 (2.46, 17.62)] and maternal obesity [aOR </w:t>
      </w:r>
      <w:r w:rsidR="00773CBC" w:rsidRPr="00773CBC">
        <w:rPr>
          <w:rFonts w:cs="Times New Roman"/>
          <w:sz w:val="18"/>
          <w:szCs w:val="18"/>
        </w:rPr>
        <w:t>1.5 (</w:t>
      </w:r>
      <w:r w:rsidRPr="00773CBC">
        <w:rPr>
          <w:rFonts w:cs="Times New Roman"/>
          <w:sz w:val="18"/>
          <w:szCs w:val="18"/>
        </w:rPr>
        <w:t>1.00, 2.30)]. SGA were associated with short stature [aOR 1.7 (1.22, 2.41)] and no antenatal bookings</w:t>
      </w:r>
    </w:p>
    <w:p w14:paraId="327B8995" w14:textId="77777777" w:rsidR="00B123FF" w:rsidRPr="00773CBC" w:rsidRDefault="00B123FF" w:rsidP="00A57BEB">
      <w:pPr>
        <w:autoSpaceDE w:val="0"/>
        <w:autoSpaceDN w:val="0"/>
        <w:adjustRightInd w:val="0"/>
        <w:spacing w:line="276" w:lineRule="auto"/>
        <w:rPr>
          <w:rFonts w:cs="Times New Roman"/>
          <w:sz w:val="18"/>
          <w:szCs w:val="18"/>
        </w:rPr>
      </w:pPr>
      <w:r w:rsidRPr="00773CBC">
        <w:rPr>
          <w:rFonts w:cs="Times New Roman"/>
          <w:sz w:val="18"/>
          <w:szCs w:val="18"/>
        </w:rPr>
        <w:t>[aOR 4.0 (2.12, 7.57)]</w:t>
      </w:r>
    </w:p>
    <w:p w14:paraId="4859E255" w14:textId="063C9332" w:rsidR="00B123FF" w:rsidRPr="00773CBC" w:rsidRDefault="00B123FF" w:rsidP="00A57BEB">
      <w:pPr>
        <w:autoSpaceDE w:val="0"/>
        <w:autoSpaceDN w:val="0"/>
        <w:adjustRightInd w:val="0"/>
        <w:spacing w:line="276" w:lineRule="auto"/>
        <w:rPr>
          <w:rFonts w:cs="Times New Roman"/>
          <w:sz w:val="18"/>
          <w:szCs w:val="18"/>
        </w:rPr>
      </w:pPr>
      <w:r w:rsidRPr="00773CBC">
        <w:rPr>
          <w:rFonts w:cs="Times New Roman"/>
          <w:b/>
          <w:bCs/>
          <w:sz w:val="18"/>
          <w:szCs w:val="18"/>
        </w:rPr>
        <w:t>Interpretation</w:t>
      </w:r>
      <w:r w:rsidR="00773CBC" w:rsidRPr="00773CBC">
        <w:rPr>
          <w:rFonts w:cs="Times New Roman"/>
          <w:b/>
          <w:bCs/>
          <w:sz w:val="18"/>
          <w:szCs w:val="18"/>
        </w:rPr>
        <w:t>:</w:t>
      </w:r>
      <w:r w:rsidRPr="00773CBC">
        <w:rPr>
          <w:rFonts w:cs="Times New Roman"/>
          <w:sz w:val="18"/>
          <w:szCs w:val="18"/>
        </w:rPr>
        <w:t xml:space="preserve"> Several significant factors identified were malaria infection, obesity, betel nut and tobacco and </w:t>
      </w:r>
      <w:r w:rsidR="004762D5" w:rsidRPr="00773CBC">
        <w:rPr>
          <w:rFonts w:cs="Times New Roman"/>
          <w:sz w:val="18"/>
          <w:szCs w:val="18"/>
        </w:rPr>
        <w:t>no antenatal</w:t>
      </w:r>
      <w:r w:rsidRPr="00773CBC">
        <w:rPr>
          <w:rFonts w:cs="Times New Roman"/>
          <w:sz w:val="18"/>
          <w:szCs w:val="18"/>
        </w:rPr>
        <w:t xml:space="preserve"> care, also validated by clinicians consulted.</w:t>
      </w:r>
    </w:p>
    <w:p w14:paraId="3B4CC27A" w14:textId="5CE78F92" w:rsidR="00B123FF" w:rsidRPr="00773CBC" w:rsidRDefault="00B123FF" w:rsidP="00A57BEB">
      <w:pPr>
        <w:spacing w:line="276" w:lineRule="auto"/>
        <w:rPr>
          <w:rFonts w:cs="Times New Roman"/>
          <w:sz w:val="18"/>
          <w:szCs w:val="18"/>
        </w:rPr>
      </w:pPr>
      <w:r w:rsidRPr="00773CBC">
        <w:rPr>
          <w:rFonts w:cs="Times New Roman"/>
          <w:b/>
          <w:bCs/>
          <w:sz w:val="18"/>
          <w:szCs w:val="18"/>
        </w:rPr>
        <w:t>Funding</w:t>
      </w:r>
      <w:r w:rsidR="00773CBC" w:rsidRPr="00773CBC">
        <w:rPr>
          <w:rFonts w:cs="Times New Roman"/>
          <w:b/>
          <w:bCs/>
          <w:sz w:val="18"/>
          <w:szCs w:val="18"/>
        </w:rPr>
        <w:t>:</w:t>
      </w:r>
      <w:r w:rsidRPr="00773CBC">
        <w:rPr>
          <w:rFonts w:cs="Times New Roman"/>
          <w:sz w:val="18"/>
          <w:szCs w:val="18"/>
        </w:rPr>
        <w:t xml:space="preserve"> Australia National Health and Medical Research Council.</w:t>
      </w:r>
    </w:p>
    <w:p w14:paraId="0913905B" w14:textId="77777777" w:rsidR="00601A13" w:rsidRDefault="00A9710C">
      <w:pPr>
        <w:pStyle w:val="Heading3"/>
        <w:spacing w:before="74"/>
        <w:rPr>
          <w:b w:val="0"/>
        </w:rPr>
      </w:pPr>
      <w:r>
        <w:rPr>
          <w:b w:val="0"/>
        </w:rPr>
        <w:br w:type="column"/>
      </w:r>
    </w:p>
    <w:p w14:paraId="5EC95FF0" w14:textId="77777777" w:rsidR="00601A13" w:rsidRDefault="00601A13">
      <w:pPr>
        <w:pStyle w:val="Heading3"/>
        <w:spacing w:before="74"/>
        <w:rPr>
          <w:b w:val="0"/>
        </w:rPr>
      </w:pPr>
    </w:p>
    <w:p w14:paraId="089C6DB1" w14:textId="4E95AAE1" w:rsidR="00AE3E37" w:rsidRDefault="00A9710C">
      <w:pPr>
        <w:pStyle w:val="Heading3"/>
        <w:spacing w:before="74"/>
        <w:rPr>
          <w:color w:val="BF5A14"/>
        </w:rPr>
      </w:pPr>
      <w:r>
        <w:rPr>
          <w:color w:val="BF5A14"/>
        </w:rPr>
        <w:t>Image</w:t>
      </w:r>
      <w:r w:rsidR="00C30E9F">
        <w:rPr>
          <w:color w:val="BF5A14"/>
        </w:rPr>
        <w:t>s</w:t>
      </w:r>
    </w:p>
    <w:p w14:paraId="4B35D00A" w14:textId="77777777" w:rsidR="00601A13" w:rsidRDefault="00601A13">
      <w:pPr>
        <w:pStyle w:val="Heading3"/>
        <w:spacing w:before="74"/>
      </w:pPr>
    </w:p>
    <w:p w14:paraId="7428DF36" w14:textId="61EDED89" w:rsidR="00AE3E37" w:rsidRDefault="00C30E9F">
      <w:pPr>
        <w:pStyle w:val="BodyText"/>
        <w:spacing w:before="2"/>
        <w:rPr>
          <w:rFonts w:ascii="Arial"/>
          <w:b/>
          <w:sz w:val="16"/>
        </w:rPr>
      </w:pPr>
      <w:r>
        <w:rPr>
          <w:rFonts w:ascii="Times New Roman" w:hAnsi="Times New Roman" w:cs="Times New Roman"/>
          <w:noProof/>
          <w:color w:val="000000"/>
        </w:rPr>
        <w:drawing>
          <wp:inline distT="0" distB="0" distL="0" distR="0" wp14:anchorId="4E233B5D" wp14:editId="3DE5E093">
            <wp:extent cx="969645" cy="554297"/>
            <wp:effectExtent l="0" t="0" r="1905" b="0"/>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9645" cy="554297"/>
                    </a:xfrm>
                    <a:prstGeom prst="rect">
                      <a:avLst/>
                    </a:prstGeom>
                    <a:noFill/>
                  </pic:spPr>
                </pic:pic>
              </a:graphicData>
            </a:graphic>
          </wp:inline>
        </w:drawing>
      </w:r>
      <w:r w:rsidR="004762D5">
        <w:rPr>
          <w:noProof/>
        </w:rPr>
        <w:drawing>
          <wp:anchor distT="0" distB="0" distL="114300" distR="114300" simplePos="0" relativeHeight="251662336" behindDoc="0" locked="0" layoutInCell="1" allowOverlap="1" wp14:anchorId="37A44ECA" wp14:editId="0BD186D3">
            <wp:simplePos x="0" y="0"/>
            <wp:positionH relativeFrom="column">
              <wp:posOffset>970280</wp:posOffset>
            </wp:positionH>
            <wp:positionV relativeFrom="paragraph">
              <wp:posOffset>594360</wp:posOffset>
            </wp:positionV>
            <wp:extent cx="1022350" cy="516255"/>
            <wp:effectExtent l="0" t="0" r="6350" b="0"/>
            <wp:wrapThrough wrapText="bothSides">
              <wp:wrapPolygon edited="0">
                <wp:start x="0" y="0"/>
                <wp:lineTo x="0" y="20723"/>
                <wp:lineTo x="21332" y="20723"/>
                <wp:lineTo x="21332" y="0"/>
                <wp:lineTo x="0" y="0"/>
              </wp:wrapPolygon>
            </wp:wrapThrough>
            <wp:docPr id="11" name="Content Placeholder 7" descr="A picture containing bed, indoor, baby, laying&#10;&#10;Description automatically generated">
              <a:extLst xmlns:a="http://schemas.openxmlformats.org/drawingml/2006/main">
                <a:ext uri="{FF2B5EF4-FFF2-40B4-BE49-F238E27FC236}">
                  <a16:creationId xmlns:a16="http://schemas.microsoft.com/office/drawing/2014/main" id="{AFECDB4B-399B-440B-8F24-7BAC3F2E335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Content Placeholder 7" descr="A picture containing bed, indoor, baby, laying&#10;&#10;Description automatically generated">
                      <a:extLst>
                        <a:ext uri="{FF2B5EF4-FFF2-40B4-BE49-F238E27FC236}">
                          <a16:creationId xmlns:a16="http://schemas.microsoft.com/office/drawing/2014/main" id="{AFECDB4B-399B-440B-8F24-7BAC3F2E3356}"/>
                        </a:ext>
                      </a:extLst>
                    </pic:cNvPr>
                    <pic:cNvPicPr>
                      <a:picLocks noGrp="1"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22350" cy="516255"/>
                    </a:xfrm>
                    <a:prstGeom prst="rect">
                      <a:avLst/>
                    </a:prstGeom>
                  </pic:spPr>
                </pic:pic>
              </a:graphicData>
            </a:graphic>
          </wp:anchor>
        </w:drawing>
      </w:r>
      <w:r w:rsidR="00601A13">
        <w:rPr>
          <w:rFonts w:ascii="Arial"/>
          <w:b/>
          <w:noProof/>
          <w:sz w:val="16"/>
        </w:rPr>
        <w:drawing>
          <wp:inline distT="0" distB="0" distL="0" distR="0" wp14:anchorId="15AE260F" wp14:editId="326EDBAB">
            <wp:extent cx="1390015" cy="55499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0015" cy="554990"/>
                    </a:xfrm>
                    <a:prstGeom prst="rect">
                      <a:avLst/>
                    </a:prstGeom>
                    <a:noFill/>
                  </pic:spPr>
                </pic:pic>
              </a:graphicData>
            </a:graphic>
          </wp:inline>
        </w:drawing>
      </w:r>
    </w:p>
    <w:p w14:paraId="7DAB5BF8" w14:textId="77777777" w:rsidR="00601A13" w:rsidRDefault="005973B9" w:rsidP="005973B9">
      <w:pPr>
        <w:spacing w:line="204" w:lineRule="exact"/>
        <w:rPr>
          <w:rFonts w:ascii="Arial"/>
          <w:b/>
          <w:color w:val="BF5A14"/>
          <w:sz w:val="20"/>
        </w:rPr>
      </w:pPr>
      <w:r>
        <w:rPr>
          <w:rFonts w:ascii="Arial"/>
          <w:b/>
          <w:color w:val="BF5A14"/>
          <w:sz w:val="20"/>
        </w:rPr>
        <w:br/>
      </w:r>
    </w:p>
    <w:p w14:paraId="02552C97" w14:textId="77777777" w:rsidR="00601A13" w:rsidRDefault="00601A13" w:rsidP="005973B9">
      <w:pPr>
        <w:spacing w:line="204" w:lineRule="exact"/>
        <w:rPr>
          <w:rFonts w:ascii="Arial"/>
          <w:b/>
          <w:color w:val="BF5A14"/>
          <w:sz w:val="20"/>
        </w:rPr>
      </w:pPr>
    </w:p>
    <w:p w14:paraId="3F75020C" w14:textId="77777777" w:rsidR="00601A13" w:rsidRDefault="00601A13" w:rsidP="005973B9">
      <w:pPr>
        <w:spacing w:line="204" w:lineRule="exact"/>
        <w:rPr>
          <w:rFonts w:ascii="Arial"/>
          <w:b/>
          <w:color w:val="BF5A14"/>
          <w:sz w:val="20"/>
        </w:rPr>
      </w:pPr>
    </w:p>
    <w:p w14:paraId="4C723815" w14:textId="77777777" w:rsidR="00601A13" w:rsidRDefault="00601A13" w:rsidP="005973B9">
      <w:pPr>
        <w:spacing w:line="204" w:lineRule="exact"/>
        <w:rPr>
          <w:rFonts w:ascii="Arial"/>
          <w:b/>
          <w:color w:val="BF5A14"/>
          <w:sz w:val="20"/>
        </w:rPr>
      </w:pPr>
    </w:p>
    <w:p w14:paraId="4C6F3EA0" w14:textId="77777777" w:rsidR="00601A13" w:rsidRPr="00B25BB4" w:rsidRDefault="00601A13" w:rsidP="005973B9">
      <w:pPr>
        <w:spacing w:line="204" w:lineRule="exact"/>
        <w:rPr>
          <w:rFonts w:ascii="Arial"/>
          <w:b/>
          <w:color w:val="BF5A14"/>
          <w:sz w:val="18"/>
          <w:szCs w:val="18"/>
        </w:rPr>
      </w:pPr>
    </w:p>
    <w:p w14:paraId="6A6734F4" w14:textId="12844E10" w:rsidR="00C30E9F" w:rsidRPr="00B25BB4" w:rsidRDefault="00C30E9F" w:rsidP="005973B9">
      <w:pPr>
        <w:spacing w:line="204" w:lineRule="exact"/>
        <w:rPr>
          <w:rFonts w:cs="Times New Roman"/>
          <w:bCs/>
          <w:color w:val="000000" w:themeColor="text1"/>
          <w:sz w:val="18"/>
          <w:szCs w:val="18"/>
        </w:rPr>
      </w:pPr>
      <w:r w:rsidRPr="00B25BB4">
        <w:rPr>
          <w:rFonts w:cs="Times New Roman"/>
          <w:bCs/>
          <w:color w:val="000000" w:themeColor="text1"/>
          <w:sz w:val="18"/>
          <w:szCs w:val="18"/>
        </w:rPr>
        <w:t>Figure1</w:t>
      </w:r>
      <w:r w:rsidR="00601A13" w:rsidRPr="00B25BB4">
        <w:rPr>
          <w:rFonts w:cs="Times New Roman"/>
          <w:bCs/>
          <w:color w:val="000000" w:themeColor="text1"/>
          <w:sz w:val="18"/>
          <w:szCs w:val="18"/>
        </w:rPr>
        <w:t>,</w:t>
      </w:r>
      <w:r w:rsidRPr="00B25BB4">
        <w:rPr>
          <w:rFonts w:cs="Times New Roman"/>
          <w:bCs/>
          <w:color w:val="000000" w:themeColor="text1"/>
          <w:sz w:val="18"/>
          <w:szCs w:val="18"/>
        </w:rPr>
        <w:t xml:space="preserve"> 2 </w:t>
      </w:r>
      <w:r w:rsidR="00601A13" w:rsidRPr="00B25BB4">
        <w:rPr>
          <w:rFonts w:cs="Times New Roman"/>
          <w:bCs/>
          <w:color w:val="000000" w:themeColor="text1"/>
          <w:sz w:val="18"/>
          <w:szCs w:val="18"/>
        </w:rPr>
        <w:t xml:space="preserve">and 3 </w:t>
      </w:r>
      <w:r w:rsidRPr="00B25BB4">
        <w:rPr>
          <w:rFonts w:cs="Times New Roman"/>
          <w:bCs/>
          <w:color w:val="000000" w:themeColor="text1"/>
          <w:sz w:val="18"/>
          <w:szCs w:val="18"/>
        </w:rPr>
        <w:t>The Pacific Islands region and. Figure 3 Low birth weight triplets</w:t>
      </w:r>
      <w:r w:rsidR="00A57BEB" w:rsidRPr="00B25BB4">
        <w:rPr>
          <w:rFonts w:cs="Times New Roman"/>
          <w:bCs/>
          <w:color w:val="000000" w:themeColor="text1"/>
          <w:sz w:val="18"/>
          <w:szCs w:val="18"/>
        </w:rPr>
        <w:t xml:space="preserve"> in the Solomon Islands.</w:t>
      </w:r>
      <w:r w:rsidRPr="00B25BB4">
        <w:rPr>
          <w:rFonts w:cs="Times New Roman"/>
          <w:bCs/>
          <w:color w:val="000000" w:themeColor="text1"/>
          <w:sz w:val="18"/>
          <w:szCs w:val="18"/>
        </w:rPr>
        <w:t xml:space="preserve"> </w:t>
      </w:r>
    </w:p>
    <w:p w14:paraId="5E9E83CA" w14:textId="77777777" w:rsidR="00C30E9F" w:rsidRDefault="00C30E9F" w:rsidP="005973B9">
      <w:pPr>
        <w:spacing w:line="204" w:lineRule="exact"/>
        <w:rPr>
          <w:rFonts w:ascii="Arial"/>
          <w:b/>
          <w:color w:val="BF5A14"/>
          <w:sz w:val="20"/>
        </w:rPr>
      </w:pPr>
    </w:p>
    <w:p w14:paraId="5F08187F" w14:textId="14676BC8" w:rsidR="005973B9" w:rsidRDefault="005973B9" w:rsidP="005973B9">
      <w:pPr>
        <w:spacing w:line="204" w:lineRule="exact"/>
        <w:rPr>
          <w:rFonts w:ascii="Arial"/>
          <w:b/>
          <w:color w:val="BF5A14"/>
          <w:sz w:val="20"/>
        </w:rPr>
      </w:pPr>
      <w:r>
        <w:rPr>
          <w:rFonts w:ascii="Arial"/>
          <w:b/>
          <w:color w:val="BF5A14"/>
          <w:sz w:val="20"/>
        </w:rPr>
        <w:t>Recent Publications</w:t>
      </w:r>
    </w:p>
    <w:p w14:paraId="2DB708C0" w14:textId="4AF4EA2E" w:rsidR="004762D5" w:rsidRPr="00773CBC" w:rsidRDefault="00A14B6E" w:rsidP="00A14B6E">
      <w:pPr>
        <w:pStyle w:val="ListParagraph"/>
        <w:widowControl/>
        <w:numPr>
          <w:ilvl w:val="0"/>
          <w:numId w:val="4"/>
        </w:numPr>
        <w:shd w:val="clear" w:color="auto" w:fill="FFFFFF"/>
        <w:jc w:val="left"/>
        <w:rPr>
          <w:rFonts w:ascii="Tw Cen MT" w:eastAsia="Times New Roman" w:hAnsi="Tw Cen MT" w:cs="Times New Roman"/>
          <w:bCs/>
          <w:color w:val="333333"/>
          <w:sz w:val="18"/>
          <w:szCs w:val="18"/>
          <w:lang w:val="en-AU" w:eastAsia="en-AU"/>
        </w:rPr>
      </w:pPr>
      <w:r w:rsidRPr="00773CBC">
        <w:rPr>
          <w:rFonts w:ascii="Tw Cen MT" w:eastAsia="Times New Roman" w:hAnsi="Tw Cen MT" w:cs="Times New Roman"/>
          <w:color w:val="333333"/>
          <w:sz w:val="18"/>
          <w:szCs w:val="18"/>
          <w:lang w:val="en-AU" w:eastAsia="en-AU"/>
        </w:rPr>
        <w:t>Kaforau LSK, Tessema GA, Jancey J</w:t>
      </w:r>
      <w:r w:rsidRPr="00773CBC">
        <w:rPr>
          <w:rFonts w:ascii="Tw Cen MT" w:eastAsia="Times New Roman" w:hAnsi="Tw Cen MT" w:cs="Times New Roman"/>
          <w:i/>
          <w:iCs/>
          <w:color w:val="333333"/>
          <w:sz w:val="18"/>
          <w:szCs w:val="18"/>
          <w:lang w:val="en-AU" w:eastAsia="en-AU"/>
        </w:rPr>
        <w:t xml:space="preserve">, et al </w:t>
      </w:r>
      <w:r w:rsidRPr="00773CBC">
        <w:rPr>
          <w:rFonts w:ascii="Tw Cen MT" w:eastAsia="Times New Roman" w:hAnsi="Tw Cen MT" w:cs="Times New Roman"/>
          <w:color w:val="333333"/>
          <w:sz w:val="18"/>
          <w:szCs w:val="18"/>
          <w:lang w:val="en-AU" w:eastAsia="en-AU"/>
        </w:rPr>
        <w:t>Prevalence and risk factors of adverse birth outcomes in the Pacific Island region: a scoping reviewprotocol</w:t>
      </w:r>
      <w:r w:rsidRPr="00773CBC">
        <w:rPr>
          <w:rFonts w:ascii="Tw Cen MT" w:eastAsia="Times New Roman" w:hAnsi="Tw Cen MT" w:cs="Times New Roman"/>
          <w:i/>
          <w:iCs/>
          <w:color w:val="333333"/>
          <w:sz w:val="18"/>
          <w:szCs w:val="18"/>
          <w:lang w:val="en-AU" w:eastAsia="en-AU"/>
        </w:rPr>
        <w:t>BMJOpen </w:t>
      </w:r>
      <w:r w:rsidRPr="00773CBC">
        <w:rPr>
          <w:rFonts w:ascii="Tw Cen MT" w:eastAsia="Times New Roman" w:hAnsi="Tw Cen MT" w:cs="Times New Roman"/>
          <w:color w:val="333333"/>
          <w:sz w:val="18"/>
          <w:szCs w:val="18"/>
          <w:lang w:val="en-AU" w:eastAsia="en-AU"/>
        </w:rPr>
        <w:t>2021;</w:t>
      </w:r>
      <w:r w:rsidRPr="00773CBC">
        <w:rPr>
          <w:rFonts w:ascii="Tw Cen MT" w:eastAsia="Times New Roman" w:hAnsi="Tw Cen MT" w:cs="Times New Roman"/>
          <w:b/>
          <w:bCs/>
          <w:color w:val="333333"/>
          <w:sz w:val="18"/>
          <w:szCs w:val="18"/>
          <w:lang w:val="en-AU" w:eastAsia="en-AU"/>
        </w:rPr>
        <w:t>11:</w:t>
      </w:r>
      <w:r w:rsidRPr="00773CBC">
        <w:rPr>
          <w:rFonts w:ascii="Tw Cen MT" w:eastAsia="Times New Roman" w:hAnsi="Tw Cen MT" w:cs="Times New Roman"/>
          <w:color w:val="333333"/>
          <w:sz w:val="18"/>
          <w:szCs w:val="18"/>
          <w:lang w:val="en-AU" w:eastAsia="en-AU"/>
        </w:rPr>
        <w:t xml:space="preserve">e042423. doi: 10.1136/bmjopen-2020-042423 </w:t>
      </w:r>
    </w:p>
    <w:p w14:paraId="65F027FC" w14:textId="77777777" w:rsidR="00506054" w:rsidRPr="00773CBC" w:rsidRDefault="00506054" w:rsidP="00A14B6E">
      <w:pPr>
        <w:pStyle w:val="ListParagraph"/>
        <w:numPr>
          <w:ilvl w:val="0"/>
          <w:numId w:val="4"/>
        </w:numPr>
        <w:spacing w:line="204" w:lineRule="exact"/>
        <w:jc w:val="left"/>
        <w:rPr>
          <w:rFonts w:ascii="Tw Cen MT" w:hAnsi="Tw Cen MT" w:cs="Times New Roman"/>
          <w:bCs/>
          <w:sz w:val="18"/>
          <w:szCs w:val="18"/>
        </w:rPr>
      </w:pPr>
      <w:r w:rsidRPr="00773CBC">
        <w:rPr>
          <w:rFonts w:ascii="Tw Cen MT" w:hAnsi="Tw Cen MT" w:cs="Times New Roman"/>
          <w:bCs/>
          <w:sz w:val="18"/>
          <w:szCs w:val="18"/>
        </w:rPr>
        <w:t xml:space="preserve">Kaforau LSK, Tessema GA, Jancey J, Dhamrait G, Bugoro H, Pereira G. </w:t>
      </w:r>
      <w:proofErr w:type="gramStart"/>
      <w:r w:rsidRPr="00773CBC">
        <w:rPr>
          <w:rFonts w:ascii="Tw Cen MT" w:hAnsi="Tw Cen MT" w:cs="Times New Roman"/>
          <w:bCs/>
          <w:sz w:val="18"/>
          <w:szCs w:val="18"/>
        </w:rPr>
        <w:t>Prevalence</w:t>
      </w:r>
      <w:proofErr w:type="gramEnd"/>
      <w:r w:rsidRPr="00773CBC">
        <w:rPr>
          <w:rFonts w:ascii="Tw Cen MT" w:hAnsi="Tw Cen MT" w:cs="Times New Roman"/>
          <w:bCs/>
          <w:sz w:val="18"/>
          <w:szCs w:val="18"/>
        </w:rPr>
        <w:t xml:space="preserve"> and risk factors of adverse birth outcomes in the Pacific Island region: A scoping review. The Lancet Regional Health - Western Pacific 2022; 21: 100402.</w:t>
      </w:r>
    </w:p>
    <w:p w14:paraId="5686FEC3" w14:textId="44AF671F" w:rsidR="00AE3E37" w:rsidRPr="00773CBC" w:rsidRDefault="008756E6">
      <w:pPr>
        <w:spacing w:line="200" w:lineRule="exact"/>
        <w:jc w:val="both"/>
        <w:rPr>
          <w:rFonts w:ascii="Times New Roman" w:hAnsi="Times New Roman" w:cs="Times New Roman"/>
          <w:sz w:val="18"/>
          <w:szCs w:val="18"/>
        </w:rPr>
        <w:sectPr w:rsidR="00AE3E37" w:rsidRPr="00773CBC" w:rsidSect="008E5477">
          <w:type w:val="continuous"/>
          <w:pgSz w:w="11910" w:h="16840"/>
          <w:pgMar w:top="995" w:right="600" w:bottom="840" w:left="620" w:header="720" w:footer="720" w:gutter="0"/>
          <w:cols w:num="2" w:space="720" w:equalWidth="0">
            <w:col w:w="5214" w:space="138"/>
            <w:col w:w="5338"/>
          </w:cols>
        </w:sectPr>
      </w:pPr>
      <w:r w:rsidRPr="00773CBC">
        <w:rPr>
          <w:rFonts w:ascii="Times New Roman" w:hAnsi="Times New Roman" w:cs="Times New Roman"/>
          <w:sz w:val="18"/>
          <w:szCs w:val="18"/>
        </w:rPr>
        <w:t xml:space="preserve">  </w:t>
      </w:r>
    </w:p>
    <w:p w14:paraId="13E85A7B" w14:textId="3066CA5B" w:rsidR="00AE3E37" w:rsidRDefault="008C2E8B">
      <w:pPr>
        <w:pStyle w:val="BodyText"/>
        <w:rPr>
          <w:rFonts w:ascii="Calibri"/>
          <w:sz w:val="20"/>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1152A95" wp14:editId="726DCDBC">
                <wp:simplePos x="0" y="0"/>
                <wp:positionH relativeFrom="column">
                  <wp:posOffset>5655945</wp:posOffset>
                </wp:positionH>
                <wp:positionV relativeFrom="paragraph">
                  <wp:posOffset>93731</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F21DAE1" w14:textId="56C55DB0" w:rsidR="00A52075" w:rsidRDefault="008C2E8B" w:rsidP="00A52075">
                            <w:pPr>
                              <w:rPr>
                                <w:b/>
                                <w:color w:val="0000FF"/>
                                <w:lang w:val="en-IN"/>
                              </w:rPr>
                            </w:pPr>
                            <w:r>
                              <w:rPr>
                                <w:noProof/>
                              </w:rPr>
                              <w:drawing>
                                <wp:inline distT="0" distB="0" distL="0" distR="0" wp14:anchorId="030B74EF" wp14:editId="0FDC2ED1">
                                  <wp:extent cx="741680" cy="466504"/>
                                  <wp:effectExtent l="0" t="0" r="1270" b="0"/>
                                  <wp:docPr id="17" name="Picture 5" descr="A picture containing graphical user interface&#10;&#10;Description automatically generated">
                                    <a:extLst xmlns:a="http://schemas.openxmlformats.org/drawingml/2006/main">
                                      <a:ext uri="{FF2B5EF4-FFF2-40B4-BE49-F238E27FC236}">
                                        <a16:creationId xmlns:a16="http://schemas.microsoft.com/office/drawing/2014/main" id="{801A70DA-AB99-457F-859C-042CF96DEF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icture containing graphical user interface&#10;&#10;Description automatically generated">
                                            <a:extLst>
                                              <a:ext uri="{FF2B5EF4-FFF2-40B4-BE49-F238E27FC236}">
                                                <a16:creationId xmlns:a16="http://schemas.microsoft.com/office/drawing/2014/main" id="{801A70DA-AB99-457F-859C-042CF96DEF19}"/>
                                              </a:ext>
                                            </a:extLst>
                                          </pic:cNvPr>
                                          <pic:cNvPicPr>
                                            <a:picLocks noChangeAspect="1"/>
                                          </pic:cNvPicPr>
                                        </pic:nvPicPr>
                                        <pic:blipFill>
                                          <a:blip r:embed="rId11"/>
                                          <a:stretch>
                                            <a:fillRect/>
                                          </a:stretch>
                                        </pic:blipFill>
                                        <pic:spPr>
                                          <a:xfrm>
                                            <a:off x="0" y="0"/>
                                            <a:ext cx="745294" cy="468777"/>
                                          </a:xfrm>
                                          <a:prstGeom prst="rect">
                                            <a:avLst/>
                                          </a:prstGeom>
                                        </pic:spPr>
                                      </pic:pic>
                                    </a:graphicData>
                                  </a:graphic>
                                </wp:inline>
                              </w:drawing>
                            </w:r>
                            <w:r w:rsidR="00A52075">
                              <w:rPr>
                                <w:b/>
                                <w:color w:val="0000FF"/>
                                <w:lang w:val="en-IN"/>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152A95" id="Rounded Rectangle 2" o:spid="_x0000_s1026" style="position:absolute;margin-left:445.35pt;margin-top:7.4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" strokecolor="#9bbb59" strokeweight="2.5pt">
                <v:shadow color="#868686"/>
                <v:textbox>
                  <w:txbxContent>
                    <w:p w14:paraId="2F21DAE1" w14:textId="56C55DB0" w:rsidR="00A52075" w:rsidRDefault="008C2E8B" w:rsidP="00A52075">
                      <w:pPr>
                        <w:rPr>
                          <w:b/>
                          <w:color w:val="0000FF"/>
                          <w:lang w:val="en-IN"/>
                        </w:rPr>
                      </w:pPr>
                      <w:r>
                        <w:rPr>
                          <w:noProof/>
                        </w:rPr>
                        <w:drawing>
                          <wp:inline distT="0" distB="0" distL="0" distR="0" wp14:anchorId="030B74EF" wp14:editId="0FDC2ED1">
                            <wp:extent cx="741680" cy="466504"/>
                            <wp:effectExtent l="0" t="0" r="1270" b="0"/>
                            <wp:docPr id="17" name="Picture 5" descr="A picture containing graphical user interface&#10;&#10;Description automatically generated">
                              <a:extLst xmlns:a="http://schemas.openxmlformats.org/drawingml/2006/main">
                                <a:ext uri="{FF2B5EF4-FFF2-40B4-BE49-F238E27FC236}">
                                  <a16:creationId xmlns:a16="http://schemas.microsoft.com/office/drawing/2014/main" id="{801A70DA-AB99-457F-859C-042CF96DEF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icture containing graphical user interface&#10;&#10;Description automatically generated">
                                      <a:extLst>
                                        <a:ext uri="{FF2B5EF4-FFF2-40B4-BE49-F238E27FC236}">
                                          <a16:creationId xmlns:a16="http://schemas.microsoft.com/office/drawing/2014/main" id="{801A70DA-AB99-457F-859C-042CF96DEF19}"/>
                                        </a:ext>
                                      </a:extLst>
                                    </pic:cNvPr>
                                    <pic:cNvPicPr>
                                      <a:picLocks noChangeAspect="1"/>
                                    </pic:cNvPicPr>
                                  </pic:nvPicPr>
                                  <pic:blipFill>
                                    <a:blip r:embed="rId12"/>
                                    <a:stretch>
                                      <a:fillRect/>
                                    </a:stretch>
                                  </pic:blipFill>
                                  <pic:spPr>
                                    <a:xfrm>
                                      <a:off x="0" y="0"/>
                                      <a:ext cx="745294" cy="468777"/>
                                    </a:xfrm>
                                    <a:prstGeom prst="rect">
                                      <a:avLst/>
                                    </a:prstGeom>
                                  </pic:spPr>
                                </pic:pic>
                              </a:graphicData>
                            </a:graphic>
                          </wp:inline>
                        </w:drawing>
                      </w:r>
                      <w:r w:rsidR="00A52075">
                        <w:rPr>
                          <w:b/>
                          <w:color w:val="0000FF"/>
                          <w:lang w:val="en-IN"/>
                        </w:rPr>
                        <w:t xml:space="preserve"> here</w:t>
                      </w:r>
                    </w:p>
                  </w:txbxContent>
                </v:textbox>
              </v:roundrect>
            </w:pict>
          </mc:Fallback>
        </mc:AlternateContent>
      </w:r>
    </w:p>
    <w:p w14:paraId="53E3D9C7"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9252BA8" wp14:editId="6208A7A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727E3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B743E8F" w14:textId="77777777" w:rsidR="004762D5" w:rsidRDefault="008756E6" w:rsidP="00404E5B">
      <w:pPr>
        <w:spacing w:before="92"/>
        <w:ind w:right="4234"/>
        <w:rPr>
          <w:noProof/>
        </w:rPr>
      </w:pPr>
      <w:r>
        <w:rPr>
          <w:noProof/>
        </w:rPr>
        <w:t xml:space="preserve">              </w:t>
      </w:r>
      <w:r w:rsidR="008C2E8B">
        <w:rPr>
          <w:noProof/>
        </w:rPr>
        <w:drawing>
          <wp:inline distT="0" distB="0" distL="0" distR="0" wp14:anchorId="27A800FB" wp14:editId="4A8F802C">
            <wp:extent cx="540385" cy="474830"/>
            <wp:effectExtent l="0" t="0" r="0" b="1905"/>
            <wp:docPr id="10" name="Picture 10" descr="A picture containing person, wall, indoor, li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person, wall, indoor, littl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5491" cy="488104"/>
                    </a:xfrm>
                    <a:prstGeom prst="rect">
                      <a:avLst/>
                    </a:prstGeom>
                    <a:noFill/>
                    <a:ln>
                      <a:noFill/>
                    </a:ln>
                  </pic:spPr>
                </pic:pic>
              </a:graphicData>
            </a:graphic>
          </wp:inline>
        </w:drawing>
      </w:r>
      <w:r w:rsidR="008C2E8B">
        <w:rPr>
          <w:noProof/>
        </w:rPr>
        <w:t xml:space="preserve"> </w:t>
      </w:r>
    </w:p>
    <w:p w14:paraId="71615193" w14:textId="660E1102" w:rsidR="0003065A" w:rsidRPr="0003065A" w:rsidRDefault="00A9710C" w:rsidP="0003065A">
      <w:pPr>
        <w:spacing w:before="92"/>
        <w:ind w:right="4234"/>
        <w:rPr>
          <w:rFonts w:ascii="Arial"/>
          <w:color w:val="BF5A14"/>
        </w:rPr>
      </w:pPr>
      <w:r>
        <w:rPr>
          <w:rFonts w:ascii="Arial"/>
          <w:color w:val="BF5A14"/>
        </w:rPr>
        <w:t>Biography</w:t>
      </w:r>
    </w:p>
    <w:p w14:paraId="0030143E" w14:textId="7F7CC7BE" w:rsidR="0003065A" w:rsidRPr="00773CBC" w:rsidRDefault="0003065A" w:rsidP="00773CBC">
      <w:pPr>
        <w:spacing w:before="41" w:line="276" w:lineRule="auto"/>
        <w:ind w:left="213" w:right="231"/>
        <w:jc w:val="both"/>
        <w:rPr>
          <w:sz w:val="18"/>
          <w:szCs w:val="18"/>
        </w:rPr>
      </w:pPr>
      <w:r w:rsidRPr="00773CBC">
        <w:rPr>
          <w:sz w:val="18"/>
          <w:szCs w:val="18"/>
        </w:rPr>
        <w:t xml:space="preserve">Lydia Kaforau is current a PhD Candidate at the School of population Health, Curtin University. Lydia is a neonatal and pediatric clinical RN and mentor at the National referral hospital in the Solomon Islands. She is also an assistant lecturer and researcher at the Solomon Islands National University in the Solomon Islands. Lydia’s Passions and research interest is perinatal epidemiology, maternal and child health in the Solomon Islands and the Pacific region.  </w:t>
      </w:r>
    </w:p>
    <w:p w14:paraId="3886E79C" w14:textId="21279939" w:rsidR="00AE3E37" w:rsidRPr="00773CBC" w:rsidRDefault="00A9710C" w:rsidP="00773CBC">
      <w:pPr>
        <w:spacing w:before="62"/>
        <w:ind w:left="4217" w:right="4235"/>
        <w:jc w:val="both"/>
        <w:rPr>
          <w:sz w:val="18"/>
          <w:szCs w:val="18"/>
        </w:rPr>
      </w:pPr>
      <w:r w:rsidRPr="00773CBC">
        <w:rPr>
          <w:sz w:val="18"/>
          <w:szCs w:val="18"/>
        </w:rPr>
        <w:t xml:space="preserve">Email: </w:t>
      </w:r>
      <w:r w:rsidR="008C2E8B" w:rsidRPr="00773CBC">
        <w:rPr>
          <w:sz w:val="18"/>
          <w:szCs w:val="18"/>
        </w:rPr>
        <w:t>l.kaforau@postgrad.curtin.ed</w:t>
      </w:r>
      <w:r w:rsidR="00773CBC">
        <w:rPr>
          <w:sz w:val="18"/>
          <w:szCs w:val="18"/>
        </w:rPr>
        <w:t>.</w:t>
      </w:r>
      <w:r w:rsidR="008C2E8B" w:rsidRPr="00773CBC">
        <w:rPr>
          <w:sz w:val="18"/>
          <w:szCs w:val="18"/>
        </w:rPr>
        <w:t xml:space="preserve">au </w:t>
      </w:r>
    </w:p>
    <w:p w14:paraId="2A701BD9" w14:textId="77777777" w:rsidR="00AE3E37" w:rsidRPr="00773CBC" w:rsidRDefault="00292ED9" w:rsidP="00773CBC">
      <w:pPr>
        <w:pStyle w:val="BodyText"/>
        <w:spacing w:before="2"/>
        <w:jc w:val="both"/>
      </w:pPr>
      <w:r w:rsidRPr="00773CBC">
        <w:rPr>
          <w:noProof/>
        </w:rPr>
        <mc:AlternateContent>
          <mc:Choice Requires="wps">
            <w:drawing>
              <wp:anchor distT="0" distB="0" distL="0" distR="0" simplePos="0" relativeHeight="1072" behindDoc="0" locked="0" layoutInCell="1" allowOverlap="1" wp14:anchorId="210ECA79" wp14:editId="4F7A3C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DF12C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921B801" w14:textId="2A801BB0" w:rsidR="00EA7D51" w:rsidRPr="00773CBC" w:rsidRDefault="00A9710C" w:rsidP="00A57BEB">
      <w:pPr>
        <w:rPr>
          <w:b/>
          <w:sz w:val="18"/>
          <w:szCs w:val="18"/>
        </w:rPr>
      </w:pPr>
      <w:r w:rsidRPr="00773CBC">
        <w:rPr>
          <w:b/>
          <w:sz w:val="18"/>
          <w:szCs w:val="18"/>
        </w:rPr>
        <w:t>Notes/Comments:</w:t>
      </w:r>
    </w:p>
    <w:p w14:paraId="5D9CDB46" w14:textId="71099A53" w:rsidR="00EA7D51" w:rsidRPr="00773CBC" w:rsidRDefault="00EA7D51" w:rsidP="00A57BEB">
      <w:pPr>
        <w:autoSpaceDE w:val="0"/>
        <w:autoSpaceDN w:val="0"/>
        <w:adjustRightInd w:val="0"/>
        <w:rPr>
          <w:b/>
          <w:sz w:val="18"/>
          <w:szCs w:val="18"/>
          <w:lang w:val="en-NZ"/>
        </w:rPr>
      </w:pPr>
      <w:r w:rsidRPr="00773CBC">
        <w:rPr>
          <w:b/>
          <w:sz w:val="18"/>
          <w:szCs w:val="18"/>
          <w:lang w:val="en-NZ"/>
        </w:rPr>
        <w:t xml:space="preserve">Presenting author details </w:t>
      </w:r>
      <w:r w:rsidRPr="00773CBC">
        <w:rPr>
          <w:b/>
          <w:sz w:val="18"/>
          <w:szCs w:val="18"/>
          <w:lang w:val="en-NZ"/>
        </w:rPr>
        <w:br/>
      </w:r>
      <w:r w:rsidRPr="00773CBC">
        <w:rPr>
          <w:sz w:val="18"/>
          <w:szCs w:val="18"/>
          <w:lang w:val="en-NZ"/>
        </w:rPr>
        <w:t xml:space="preserve">Full name: </w:t>
      </w:r>
      <w:r w:rsidR="004762D5" w:rsidRPr="00773CBC">
        <w:rPr>
          <w:sz w:val="18"/>
          <w:szCs w:val="18"/>
          <w:lang w:val="en-NZ"/>
        </w:rPr>
        <w:t xml:space="preserve">Lydia Kaforau </w:t>
      </w:r>
      <w:r w:rsidRPr="00773CBC">
        <w:rPr>
          <w:sz w:val="18"/>
          <w:szCs w:val="18"/>
          <w:lang w:val="en-NZ"/>
        </w:rPr>
        <w:br/>
        <w:t>Contact number:</w:t>
      </w:r>
      <w:r w:rsidR="004762D5" w:rsidRPr="00773CBC">
        <w:rPr>
          <w:sz w:val="18"/>
          <w:szCs w:val="18"/>
          <w:lang w:val="en-NZ"/>
        </w:rPr>
        <w:t xml:space="preserve"> +61 0433956543</w:t>
      </w:r>
      <w:r w:rsidRPr="00773CBC">
        <w:rPr>
          <w:sz w:val="18"/>
          <w:szCs w:val="18"/>
          <w:lang w:val="en-NZ"/>
        </w:rPr>
        <w:br/>
        <w:t>Twitter account:</w:t>
      </w:r>
      <w:r w:rsidR="004762D5" w:rsidRPr="00773CBC">
        <w:rPr>
          <w:sz w:val="18"/>
          <w:szCs w:val="18"/>
          <w:lang w:val="en-NZ"/>
        </w:rPr>
        <w:t xml:space="preserve"> Lydia Kaforau </w:t>
      </w:r>
      <w:r w:rsidRPr="00773CBC">
        <w:rPr>
          <w:sz w:val="18"/>
          <w:szCs w:val="18"/>
          <w:lang w:val="en-NZ"/>
        </w:rPr>
        <w:br/>
        <w:t>Linked In account:</w:t>
      </w:r>
      <w:r w:rsidR="004762D5" w:rsidRPr="00773CBC">
        <w:rPr>
          <w:sz w:val="18"/>
          <w:szCs w:val="18"/>
          <w:lang w:val="en-NZ"/>
        </w:rPr>
        <w:t xml:space="preserve"> Lydia Kaforau </w:t>
      </w:r>
    </w:p>
    <w:p w14:paraId="1DABA739" w14:textId="2C9DB285" w:rsidR="00EA7D51" w:rsidRPr="00A57BEB" w:rsidRDefault="00EA7D51" w:rsidP="00A57BEB">
      <w:pPr>
        <w:autoSpaceDE w:val="0"/>
        <w:autoSpaceDN w:val="0"/>
        <w:adjustRightInd w:val="0"/>
        <w:rPr>
          <w:sz w:val="18"/>
          <w:szCs w:val="18"/>
          <w:lang w:val="en-NZ"/>
        </w:rPr>
        <w:sectPr w:rsidR="00EA7D51" w:rsidRPr="00A57BEB" w:rsidSect="008E5477">
          <w:type w:val="continuous"/>
          <w:pgSz w:w="11910" w:h="16840"/>
          <w:pgMar w:top="995" w:right="600" w:bottom="840" w:left="620" w:header="720" w:footer="720" w:gutter="0"/>
          <w:cols w:space="720"/>
        </w:sectPr>
      </w:pPr>
      <w:r w:rsidRPr="00773CBC">
        <w:rPr>
          <w:sz w:val="18"/>
          <w:szCs w:val="18"/>
          <w:lang w:val="en-NZ"/>
        </w:rPr>
        <w:t xml:space="preserve">Session name/ number: </w:t>
      </w:r>
      <w:r w:rsidRPr="00773CBC">
        <w:rPr>
          <w:sz w:val="18"/>
          <w:szCs w:val="18"/>
          <w:lang w:val="en-NZ"/>
        </w:rPr>
        <w:br/>
        <w:t>Category: (Oral presentation</w:t>
      </w:r>
      <w:r w:rsidR="004762D5" w:rsidRPr="00773CBC">
        <w:rPr>
          <w:sz w:val="18"/>
          <w:szCs w:val="18"/>
          <w:lang w:val="en-NZ"/>
        </w:rPr>
        <w:t>)</w:t>
      </w:r>
    </w:p>
    <w:p w14:paraId="5D3AECED" w14:textId="77777777" w:rsidR="00AE3E37" w:rsidRDefault="00AE3E37" w:rsidP="00A57BEB">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6D4AB" w14:textId="77777777" w:rsidR="00A075A4" w:rsidRDefault="00A075A4">
      <w:r>
        <w:separator/>
      </w:r>
    </w:p>
  </w:endnote>
  <w:endnote w:type="continuationSeparator" w:id="0">
    <w:p w14:paraId="10C46AFB" w14:textId="77777777" w:rsidR="00A075A4" w:rsidRDefault="00A07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003A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9EE0E5D" wp14:editId="62E6FD66">
              <wp:simplePos x="0" y="0"/>
              <wp:positionH relativeFrom="page">
                <wp:posOffset>539916</wp:posOffset>
              </wp:positionH>
              <wp:positionV relativeFrom="page">
                <wp:posOffset>10131922</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1C0E2" w14:textId="52941E07" w:rsidR="00AE3E37" w:rsidRPr="005B3A56" w:rsidRDefault="00A9710C" w:rsidP="00A57BEB">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EE0E5D" id="_x0000_t202" coordsize="21600,21600" o:spt="202" path="m,l,21600r21600,l21600,xe">
              <v:stroke joinstyle="miter"/>
              <v:path gradientshapeok="t" o:connecttype="rect"/>
            </v:shapetype>
            <v:shape id="Text Box 3" o:spid="_x0000_s1027" type="#_x0000_t202" style="position:absolute;margin-left:42.5pt;margin-top:797.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" filled="f" stroked="f">
              <v:textbox inset="0,0,0,0">
                <w:txbxContent>
                  <w:p w14:paraId="3091C0E2" w14:textId="52941E07" w:rsidR="00AE3E37" w:rsidRPr="005B3A56" w:rsidRDefault="00A9710C" w:rsidP="00A57BEB">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1E28A83" wp14:editId="7AE8A7E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86359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5C33FB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28A83"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686359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5C33FB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A7EC487" wp14:editId="7C46471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F28F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93FB6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EC487"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64BF28F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93FB6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E05E2" w14:textId="77777777" w:rsidR="00A075A4" w:rsidRDefault="00A075A4">
      <w:r>
        <w:separator/>
      </w:r>
    </w:p>
  </w:footnote>
  <w:footnote w:type="continuationSeparator" w:id="0">
    <w:p w14:paraId="1ABE8930" w14:textId="77777777" w:rsidR="00A075A4" w:rsidRDefault="00A075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78B0AE4"/>
    <w:multiLevelType w:val="hybridMultilevel"/>
    <w:tmpl w:val="0602CABA"/>
    <w:lvl w:ilvl="0" w:tplc="B89A65E2">
      <w:start w:val="1"/>
      <w:numFmt w:val="decimal"/>
      <w:lvlText w:val="%1."/>
      <w:lvlJc w:val="left"/>
      <w:pPr>
        <w:ind w:left="720" w:hanging="360"/>
      </w:pPr>
      <w:rPr>
        <w:rFonts w:hint="default"/>
        <w:color w:val="BF5A1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065A"/>
    <w:rsid w:val="000534A1"/>
    <w:rsid w:val="0006797A"/>
    <w:rsid w:val="000B4CAA"/>
    <w:rsid w:val="000E2911"/>
    <w:rsid w:val="000F7CAF"/>
    <w:rsid w:val="001263DF"/>
    <w:rsid w:val="00292ED9"/>
    <w:rsid w:val="00351D9B"/>
    <w:rsid w:val="00380299"/>
    <w:rsid w:val="00404E5B"/>
    <w:rsid w:val="00414F7B"/>
    <w:rsid w:val="004355DC"/>
    <w:rsid w:val="004749B4"/>
    <w:rsid w:val="00475D20"/>
    <w:rsid w:val="004762D5"/>
    <w:rsid w:val="00494130"/>
    <w:rsid w:val="004F3523"/>
    <w:rsid w:val="00506054"/>
    <w:rsid w:val="00590D60"/>
    <w:rsid w:val="005973B9"/>
    <w:rsid w:val="005B3A56"/>
    <w:rsid w:val="00601A13"/>
    <w:rsid w:val="006060CE"/>
    <w:rsid w:val="0061505C"/>
    <w:rsid w:val="0063497F"/>
    <w:rsid w:val="00714354"/>
    <w:rsid w:val="00773CBC"/>
    <w:rsid w:val="00873DF0"/>
    <w:rsid w:val="008756E6"/>
    <w:rsid w:val="00897EC5"/>
    <w:rsid w:val="008A0763"/>
    <w:rsid w:val="008C2E8B"/>
    <w:rsid w:val="008E5477"/>
    <w:rsid w:val="009B2D44"/>
    <w:rsid w:val="00A075A4"/>
    <w:rsid w:val="00A07E82"/>
    <w:rsid w:val="00A14B6E"/>
    <w:rsid w:val="00A52075"/>
    <w:rsid w:val="00A57BEB"/>
    <w:rsid w:val="00A9710C"/>
    <w:rsid w:val="00AE3E37"/>
    <w:rsid w:val="00B123FF"/>
    <w:rsid w:val="00B21A57"/>
    <w:rsid w:val="00B25BB4"/>
    <w:rsid w:val="00B7398F"/>
    <w:rsid w:val="00BE6743"/>
    <w:rsid w:val="00C30E9F"/>
    <w:rsid w:val="00C33602"/>
    <w:rsid w:val="00C56C74"/>
    <w:rsid w:val="00CD6F55"/>
    <w:rsid w:val="00DE3104"/>
    <w:rsid w:val="00DE6170"/>
    <w:rsid w:val="00E30AAC"/>
    <w:rsid w:val="00E95D97"/>
    <w:rsid w:val="00EA7D51"/>
    <w:rsid w:val="00F046EA"/>
    <w:rsid w:val="00F26100"/>
    <w:rsid w:val="00F312EA"/>
    <w:rsid w:val="00F35A62"/>
    <w:rsid w:val="00F72EEA"/>
    <w:rsid w:val="00F84CAE"/>
    <w:rsid w:val="00FA41DE"/>
    <w:rsid w:val="00FE5B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A8AE3"/>
  <w15:docId w15:val="{65172532-3AD1-4FD6-8DC5-7CAEC8A96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8C2E8B"/>
    <w:rPr>
      <w:color w:val="605E5C"/>
      <w:shd w:val="clear" w:color="auto" w:fill="E1DFDD"/>
    </w:rPr>
  </w:style>
  <w:style w:type="character" w:customStyle="1" w:styleId="highwire-citation-authors">
    <w:name w:val="highwire-citation-authors"/>
    <w:basedOn w:val="DefaultParagraphFont"/>
    <w:rsid w:val="00A14B6E"/>
  </w:style>
  <w:style w:type="character" w:customStyle="1" w:styleId="highwire-citation-author">
    <w:name w:val="highwire-citation-author"/>
    <w:basedOn w:val="DefaultParagraphFont"/>
    <w:rsid w:val="00A14B6E"/>
  </w:style>
  <w:style w:type="character" w:customStyle="1" w:styleId="nlm-surname">
    <w:name w:val="nlm-surname"/>
    <w:basedOn w:val="DefaultParagraphFont"/>
    <w:rsid w:val="00A14B6E"/>
  </w:style>
  <w:style w:type="character" w:customStyle="1" w:styleId="citation-et">
    <w:name w:val="citation-et"/>
    <w:basedOn w:val="DefaultParagraphFont"/>
    <w:rsid w:val="00A14B6E"/>
  </w:style>
  <w:style w:type="character" w:customStyle="1" w:styleId="highwire-cite-metadata-journal">
    <w:name w:val="highwire-cite-metadata-journal"/>
    <w:basedOn w:val="DefaultParagraphFont"/>
    <w:rsid w:val="00A14B6E"/>
  </w:style>
  <w:style w:type="character" w:customStyle="1" w:styleId="highwire-cite-metadata-year">
    <w:name w:val="highwire-cite-metadata-year"/>
    <w:basedOn w:val="DefaultParagraphFont"/>
    <w:rsid w:val="00A14B6E"/>
  </w:style>
  <w:style w:type="character" w:customStyle="1" w:styleId="highwire-cite-metadata-volume">
    <w:name w:val="highwire-cite-metadata-volume"/>
    <w:basedOn w:val="DefaultParagraphFont"/>
    <w:rsid w:val="00A14B6E"/>
  </w:style>
  <w:style w:type="character" w:customStyle="1" w:styleId="highwire-cite-metadata-elocation-id">
    <w:name w:val="highwire-cite-metadata-elocation-id"/>
    <w:basedOn w:val="DefaultParagraphFont"/>
    <w:rsid w:val="00A14B6E"/>
  </w:style>
  <w:style w:type="character" w:customStyle="1" w:styleId="highwire-cite-metadata-doi">
    <w:name w:val="highwire-cite-metadata-doi"/>
    <w:basedOn w:val="DefaultParagraphFont"/>
    <w:rsid w:val="00A14B6E"/>
  </w:style>
  <w:style w:type="character" w:customStyle="1" w:styleId="label">
    <w:name w:val="label"/>
    <w:basedOn w:val="DefaultParagraphFont"/>
    <w:rsid w:val="00A14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17801729">
      <w:bodyDiv w:val="1"/>
      <w:marLeft w:val="0"/>
      <w:marRight w:val="0"/>
      <w:marTop w:val="0"/>
      <w:marBottom w:val="0"/>
      <w:divBdr>
        <w:top w:val="none" w:sz="0" w:space="0" w:color="auto"/>
        <w:left w:val="none" w:sz="0" w:space="0" w:color="auto"/>
        <w:bottom w:val="none" w:sz="0" w:space="0" w:color="auto"/>
        <w:right w:val="none" w:sz="0" w:space="0" w:color="auto"/>
      </w:divBdr>
      <w:divsChild>
        <w:div w:id="33624769">
          <w:marLeft w:val="0"/>
          <w:marRight w:val="0"/>
          <w:marTop w:val="0"/>
          <w:marBottom w:val="0"/>
          <w:divBdr>
            <w:top w:val="none" w:sz="0" w:space="0" w:color="auto"/>
            <w:left w:val="none" w:sz="0" w:space="0" w:color="auto"/>
            <w:bottom w:val="none" w:sz="0" w:space="0" w:color="auto"/>
            <w:right w:val="none" w:sz="0" w:space="0" w:color="auto"/>
          </w:divBdr>
        </w:div>
        <w:div w:id="335152121">
          <w:marLeft w:val="0"/>
          <w:marRight w:val="0"/>
          <w:marTop w:val="0"/>
          <w:marBottom w:val="0"/>
          <w:divBdr>
            <w:top w:val="none" w:sz="0" w:space="0" w:color="auto"/>
            <w:left w:val="none" w:sz="0" w:space="0" w:color="auto"/>
            <w:bottom w:val="none" w:sz="0" w:space="0" w:color="auto"/>
            <w:right w:val="none" w:sz="0" w:space="0" w:color="auto"/>
          </w:divBdr>
        </w:div>
        <w:div w:id="169824003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0.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480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Lydia Sandrah Kuman Kaforau</cp:lastModifiedBy>
  <cp:revision>10</cp:revision>
  <dcterms:created xsi:type="dcterms:W3CDTF">2022-03-03T12:46:00Z</dcterms:created>
  <dcterms:modified xsi:type="dcterms:W3CDTF">2022-03-03T14:26:00Z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