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BF1" w:rsidRPr="007461FB" w:rsidRDefault="008E1BF1" w:rsidP="008E1BF1">
      <w:pPr>
        <w:pStyle w:val="NormalWeb"/>
        <w:shd w:val="clear" w:color="auto" w:fill="FFFFFF"/>
        <w:spacing w:before="0" w:beforeAutospacing="0" w:after="0" w:afterAutospacing="0" w:line="235" w:lineRule="atLeast"/>
        <w:rPr>
          <w:color w:val="000000"/>
        </w:rPr>
      </w:pPr>
      <w:bookmarkStart w:id="0" w:name="_GoBack"/>
      <w:bookmarkEnd w:id="0"/>
      <w:r w:rsidRPr="007461FB">
        <w:rPr>
          <w:color w:val="000000"/>
          <w:bdr w:val="none" w:sz="0" w:space="0" w:color="auto" w:frame="1"/>
        </w:rPr>
        <w:t>Clinical reasoning is the “ability to interpret a patient’s needs, concerns or health problems and the decision to take action as deemed appropriate by the patient’s response.” (Tanner, 2006)   </w:t>
      </w:r>
    </w:p>
    <w:p w:rsidR="008E1BF1" w:rsidRPr="007461FB" w:rsidRDefault="008E1BF1" w:rsidP="008E1BF1">
      <w:pPr>
        <w:pStyle w:val="NormalWeb"/>
        <w:shd w:val="clear" w:color="auto" w:fill="FFFFFF"/>
        <w:spacing w:before="0" w:beforeAutospacing="0" w:after="0" w:afterAutospacing="0" w:line="235" w:lineRule="atLeast"/>
        <w:rPr>
          <w:color w:val="000000"/>
        </w:rPr>
      </w:pPr>
      <w:r w:rsidRPr="007461FB">
        <w:rPr>
          <w:color w:val="000000"/>
          <w:bdr w:val="none" w:sz="0" w:space="0" w:color="auto" w:frame="1"/>
        </w:rPr>
        <w:t>Research shows that a nurse’s ability to clinically reason directly correlat</w:t>
      </w:r>
      <w:r w:rsidR="007461FB">
        <w:rPr>
          <w:color w:val="000000"/>
          <w:bdr w:val="none" w:sz="0" w:space="0" w:color="auto" w:frame="1"/>
        </w:rPr>
        <w:t>es</w:t>
      </w:r>
      <w:r w:rsidRPr="007461FB">
        <w:rPr>
          <w:color w:val="000000"/>
          <w:bdr w:val="none" w:sz="0" w:space="0" w:color="auto" w:frame="1"/>
        </w:rPr>
        <w:t xml:space="preserve"> to safe patient care and helps prevent adverse patient outcomes. (Kuiper, 2013) Furthermore, as of 2021 the National Council of State Boards of Nursing will be testing the clinical reasoning abilities of all candidates on the NCLEX-RN </w:t>
      </w:r>
      <w:r w:rsidR="00A036FD" w:rsidRPr="007461FB">
        <w:rPr>
          <w:color w:val="000000"/>
          <w:bdr w:val="none" w:sz="0" w:space="0" w:color="auto" w:frame="1"/>
        </w:rPr>
        <w:t>to</w:t>
      </w:r>
      <w:r w:rsidRPr="007461FB">
        <w:rPr>
          <w:color w:val="000000"/>
          <w:bdr w:val="none" w:sz="0" w:space="0" w:color="auto" w:frame="1"/>
        </w:rPr>
        <w:t xml:space="preserve"> ensure all those who pass are minimally competent in this ability. Knowing all of this, it is our responsibility as nurse educators to teach and foster clinical reasoning in our students and ensure they have clinical opportunities to refine this </w:t>
      </w:r>
      <w:r w:rsidR="007461FB">
        <w:rPr>
          <w:color w:val="000000"/>
          <w:bdr w:val="none" w:sz="0" w:space="0" w:color="auto" w:frame="1"/>
        </w:rPr>
        <w:t>skill</w:t>
      </w:r>
      <w:r w:rsidRPr="007461FB">
        <w:rPr>
          <w:color w:val="000000"/>
          <w:bdr w:val="none" w:sz="0" w:space="0" w:color="auto" w:frame="1"/>
        </w:rPr>
        <w:t xml:space="preserve"> throughout their education.</w:t>
      </w:r>
    </w:p>
    <w:p w:rsidR="008E1BF1" w:rsidRPr="007461FB" w:rsidRDefault="008E1BF1" w:rsidP="008E1BF1">
      <w:pPr>
        <w:pStyle w:val="NormalWeb"/>
        <w:shd w:val="clear" w:color="auto" w:fill="FFFFFF"/>
        <w:spacing w:before="0" w:beforeAutospacing="0" w:after="0" w:afterAutospacing="0"/>
        <w:rPr>
          <w:color w:val="000000"/>
        </w:rPr>
      </w:pPr>
      <w:r w:rsidRPr="007461FB">
        <w:rPr>
          <w:color w:val="000000"/>
          <w:bdr w:val="none" w:sz="0" w:space="0" w:color="auto" w:frame="1"/>
        </w:rPr>
        <w:t> </w:t>
      </w:r>
    </w:p>
    <w:p w:rsidR="008E1BF1" w:rsidRPr="007461FB" w:rsidRDefault="008E1BF1" w:rsidP="008E1BF1">
      <w:pPr>
        <w:pStyle w:val="NormalWeb"/>
        <w:shd w:val="clear" w:color="auto" w:fill="FFFFFF"/>
        <w:spacing w:before="0" w:beforeAutospacing="0" w:after="0" w:afterAutospacing="0" w:line="235" w:lineRule="atLeast"/>
        <w:rPr>
          <w:color w:val="000000"/>
        </w:rPr>
      </w:pPr>
      <w:r w:rsidRPr="007461FB">
        <w:rPr>
          <w:color w:val="000000"/>
          <w:bdr w:val="none" w:sz="0" w:space="0" w:color="auto" w:frame="1"/>
        </w:rPr>
        <w:t> </w:t>
      </w:r>
    </w:p>
    <w:p w:rsidR="008E1BF1" w:rsidRPr="007461FB" w:rsidRDefault="008E1BF1" w:rsidP="008E1BF1">
      <w:pPr>
        <w:pStyle w:val="NormalWeb"/>
        <w:shd w:val="clear" w:color="auto" w:fill="FFFFFF"/>
        <w:spacing w:before="0" w:beforeAutospacing="0" w:after="0" w:afterAutospacing="0"/>
        <w:rPr>
          <w:color w:val="000000"/>
        </w:rPr>
      </w:pPr>
      <w:r w:rsidRPr="007461FB">
        <w:rPr>
          <w:color w:val="000000"/>
          <w:bdr w:val="none" w:sz="0" w:space="0" w:color="auto" w:frame="1"/>
        </w:rPr>
        <w:t xml:space="preserve">To address the need to graduate nursing students who are capable of clinically reasoning our school of nursing made several changes to our curriculum. One such change was a revamping of the </w:t>
      </w:r>
      <w:proofErr w:type="gramStart"/>
      <w:r w:rsidRPr="007461FB">
        <w:rPr>
          <w:color w:val="000000"/>
          <w:bdr w:val="none" w:sz="0" w:space="0" w:color="auto" w:frame="1"/>
        </w:rPr>
        <w:t>fundamentals</w:t>
      </w:r>
      <w:proofErr w:type="gramEnd"/>
      <w:r w:rsidRPr="007461FB">
        <w:rPr>
          <w:color w:val="000000"/>
          <w:bdr w:val="none" w:sz="0" w:space="0" w:color="auto" w:frame="1"/>
        </w:rPr>
        <w:t xml:space="preserve"> semester. Changes made included lectures, simulations and innovative clinical teaching strategies. This presentation will describe innovative strategies used in the fundamentals clinical to help teach the concept of clinical reasoning and foster an environment which supported its growth. The strategies used were based on the ideas in “Think Like a Nurse” by Dr. Linda </w:t>
      </w:r>
      <w:proofErr w:type="spellStart"/>
      <w:r w:rsidRPr="007461FB">
        <w:rPr>
          <w:color w:val="000000"/>
          <w:bdr w:val="none" w:sz="0" w:space="0" w:color="auto" w:frame="1"/>
        </w:rPr>
        <w:t>Caputi</w:t>
      </w:r>
      <w:proofErr w:type="spellEnd"/>
      <w:r w:rsidRPr="007461FB">
        <w:rPr>
          <w:color w:val="000000"/>
          <w:bdr w:val="none" w:sz="0" w:space="0" w:color="auto" w:frame="1"/>
        </w:rPr>
        <w:t xml:space="preserve">. These teaching strategies were tailored to novice learners and were modeled from Tanner’s Model of Clinical Judgement. The NLN states the assessment and evaluation of teaching strategies is necessary to meet the core competencies of nursing education. In order to evaluate the effectiveness of the </w:t>
      </w:r>
      <w:r w:rsidR="007461FB" w:rsidRPr="007461FB">
        <w:rPr>
          <w:color w:val="000000"/>
          <w:bdr w:val="none" w:sz="0" w:space="0" w:color="auto" w:frame="1"/>
        </w:rPr>
        <w:t>strategies</w:t>
      </w:r>
      <w:r w:rsidRPr="007461FB">
        <w:rPr>
          <w:color w:val="000000"/>
          <w:bdr w:val="none" w:sz="0" w:space="0" w:color="auto" w:frame="1"/>
        </w:rPr>
        <w:t xml:space="preserve"> used the clinical reasoning </w:t>
      </w:r>
      <w:r w:rsidR="007461FB" w:rsidRPr="007461FB">
        <w:rPr>
          <w:color w:val="000000"/>
          <w:bdr w:val="none" w:sz="0" w:space="0" w:color="auto" w:frame="1"/>
        </w:rPr>
        <w:t>abilities</w:t>
      </w:r>
      <w:r w:rsidRPr="007461FB">
        <w:rPr>
          <w:color w:val="000000"/>
          <w:bdr w:val="none" w:sz="0" w:space="0" w:color="auto" w:frame="1"/>
        </w:rPr>
        <w:t xml:space="preserve"> of the fundamental students w</w:t>
      </w:r>
      <w:r w:rsidR="007461FB" w:rsidRPr="007461FB">
        <w:rPr>
          <w:color w:val="000000"/>
          <w:bdr w:val="none" w:sz="0" w:space="0" w:color="auto" w:frame="1"/>
        </w:rPr>
        <w:t>ere</w:t>
      </w:r>
      <w:r w:rsidRPr="007461FB">
        <w:rPr>
          <w:color w:val="000000"/>
          <w:bdr w:val="none" w:sz="0" w:space="0" w:color="auto" w:frame="1"/>
        </w:rPr>
        <w:t xml:space="preserve"> measured </w:t>
      </w:r>
      <w:r w:rsidR="007461FB" w:rsidRPr="007461FB">
        <w:rPr>
          <w:color w:val="000000"/>
          <w:bdr w:val="none" w:sz="0" w:space="0" w:color="auto" w:frame="1"/>
        </w:rPr>
        <w:t>prior to</w:t>
      </w:r>
      <w:r w:rsidRPr="007461FB">
        <w:rPr>
          <w:color w:val="000000"/>
          <w:bdr w:val="none" w:sz="0" w:space="0" w:color="auto" w:frame="1"/>
        </w:rPr>
        <w:t xml:space="preserve"> and after the</w:t>
      </w:r>
      <w:r w:rsidR="007461FB" w:rsidRPr="007461FB">
        <w:rPr>
          <w:color w:val="000000"/>
          <w:bdr w:val="none" w:sz="0" w:space="0" w:color="auto" w:frame="1"/>
        </w:rPr>
        <w:t xml:space="preserve"> </w:t>
      </w:r>
      <w:r w:rsidR="004F7ABF" w:rsidRPr="007461FB">
        <w:rPr>
          <w:color w:val="000000"/>
          <w:bdr w:val="none" w:sz="0" w:space="0" w:color="auto" w:frame="1"/>
        </w:rPr>
        <w:t>implement</w:t>
      </w:r>
      <w:r w:rsidR="004F7ABF">
        <w:rPr>
          <w:color w:val="000000"/>
          <w:bdr w:val="none" w:sz="0" w:space="0" w:color="auto" w:frame="1"/>
        </w:rPr>
        <w:t>ation</w:t>
      </w:r>
      <w:r w:rsidR="007461FB" w:rsidRPr="007461FB">
        <w:rPr>
          <w:color w:val="000000"/>
          <w:bdr w:val="none" w:sz="0" w:space="0" w:color="auto" w:frame="1"/>
        </w:rPr>
        <w:t xml:space="preserve"> of the new clinical teaching strategies. </w:t>
      </w:r>
      <w:r w:rsidRPr="007461FB">
        <w:rPr>
          <w:color w:val="000000"/>
          <w:bdr w:val="none" w:sz="0" w:space="0" w:color="auto" w:frame="1"/>
        </w:rPr>
        <w:t xml:space="preserve"> Results showed substantial growth in clinical reasoning among fundamentals students.</w:t>
      </w:r>
    </w:p>
    <w:p w:rsidR="008E1BF1" w:rsidRPr="007461FB" w:rsidRDefault="008E1BF1" w:rsidP="008E1BF1">
      <w:pPr>
        <w:pStyle w:val="NormalWeb"/>
        <w:shd w:val="clear" w:color="auto" w:fill="FFFFFF"/>
        <w:spacing w:before="0" w:beforeAutospacing="0" w:after="0" w:afterAutospacing="0"/>
        <w:rPr>
          <w:color w:val="000000"/>
        </w:rPr>
      </w:pPr>
      <w:r w:rsidRPr="007461FB">
        <w:rPr>
          <w:color w:val="000000"/>
          <w:bdr w:val="none" w:sz="0" w:space="0" w:color="auto" w:frame="1"/>
        </w:rPr>
        <w:t> </w:t>
      </w:r>
    </w:p>
    <w:p w:rsidR="00123545" w:rsidRDefault="00123545"/>
    <w:sectPr w:rsidR="00123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F1"/>
    <w:rsid w:val="00123545"/>
    <w:rsid w:val="004F7ABF"/>
    <w:rsid w:val="007461FB"/>
    <w:rsid w:val="008E1BF1"/>
    <w:rsid w:val="00A036FD"/>
    <w:rsid w:val="00C9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F796B-A26B-4062-817F-A28401F6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1B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70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 Huffman</dc:creator>
  <cp:keywords/>
  <dc:description/>
  <cp:lastModifiedBy>Jaime L. Huffman</cp:lastModifiedBy>
  <cp:revision>2</cp:revision>
  <dcterms:created xsi:type="dcterms:W3CDTF">2019-11-19T19:26:00Z</dcterms:created>
  <dcterms:modified xsi:type="dcterms:W3CDTF">2019-11-19T19:26:00Z</dcterms:modified>
</cp:coreProperties>
</file>