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76B8" w:rsidRPr="00DD7B3C" w:rsidRDefault="006576B8" w:rsidP="006576B8">
      <w:pPr>
        <w:spacing w:line="276" w:lineRule="auto"/>
        <w:ind w:firstLine="139"/>
        <w:jc w:val="center"/>
        <w:rPr>
          <w:rFonts w:asciiTheme="minorHAnsi" w:eastAsia="Adobe Heiti Std R" w:hAnsiTheme="minorHAnsi" w:cstheme="minorHAnsi"/>
          <w:b/>
          <w:bCs/>
          <w:kern w:val="32"/>
          <w:sz w:val="28"/>
        </w:rPr>
      </w:pPr>
      <w:bookmarkStart w:id="0" w:name="_GoBack"/>
      <w:r w:rsidRPr="00DD7B3C">
        <w:rPr>
          <w:rFonts w:asciiTheme="minorHAnsi" w:eastAsia="Adobe Heiti Std R" w:hAnsiTheme="minorHAnsi" w:cstheme="minorHAnsi"/>
          <w:b/>
          <w:bCs/>
          <w:kern w:val="32"/>
          <w:sz w:val="28"/>
        </w:rPr>
        <w:t>Design and evaluation of the educational program to empower nurses for implementing health literacy strategies in patient education: An Application of the Theory of Planned Behavior</w:t>
      </w:r>
    </w:p>
    <w:bookmarkEnd w:id="0"/>
    <w:p w:rsidR="006576B8" w:rsidRPr="003B0E69" w:rsidRDefault="006576B8" w:rsidP="006576B8">
      <w:pPr>
        <w:spacing w:line="276" w:lineRule="auto"/>
        <w:jc w:val="center"/>
        <w:rPr>
          <w:rFonts w:asciiTheme="minorHAnsi" w:hAnsiTheme="minorHAnsi" w:cstheme="minorHAnsi"/>
          <w:sz w:val="20"/>
          <w:szCs w:val="20"/>
        </w:rPr>
      </w:pPr>
      <w:r w:rsidRPr="003B0E69">
        <w:rPr>
          <w:rFonts w:asciiTheme="minorHAnsi" w:hAnsiTheme="minorHAnsi" w:cstheme="minorHAnsi"/>
          <w:sz w:val="20"/>
          <w:szCs w:val="20"/>
        </w:rPr>
        <w:t xml:space="preserve">Homamodin Javadzade </w:t>
      </w:r>
      <w:r w:rsidRPr="003B0E69">
        <w:rPr>
          <w:rFonts w:asciiTheme="minorHAnsi" w:hAnsiTheme="minorHAnsi" w:cstheme="minorHAnsi"/>
          <w:sz w:val="20"/>
          <w:szCs w:val="20"/>
          <w:vertAlign w:val="superscript"/>
        </w:rPr>
        <w:t>1</w:t>
      </w:r>
      <w:r w:rsidRPr="003B0E69">
        <w:rPr>
          <w:rFonts w:asciiTheme="minorHAnsi" w:hAnsiTheme="minorHAnsi" w:cstheme="minorHAnsi"/>
          <w:sz w:val="20"/>
          <w:szCs w:val="20"/>
        </w:rPr>
        <w:t xml:space="preserve">, Gholamreza Sharifirad </w:t>
      </w:r>
      <w:r w:rsidRPr="003B0E69">
        <w:rPr>
          <w:rFonts w:asciiTheme="minorHAnsi" w:hAnsiTheme="minorHAnsi" w:cstheme="minorHAnsi"/>
          <w:sz w:val="20"/>
          <w:szCs w:val="20"/>
          <w:vertAlign w:val="superscript"/>
        </w:rPr>
        <w:t>2</w:t>
      </w:r>
      <w:r w:rsidRPr="003B0E69">
        <w:rPr>
          <w:rFonts w:asciiTheme="minorHAnsi" w:hAnsiTheme="minorHAnsi" w:cstheme="minorHAnsi"/>
          <w:sz w:val="20"/>
          <w:szCs w:val="20"/>
        </w:rPr>
        <w:t>,</w:t>
      </w:r>
      <w:r w:rsidRPr="003B0E69">
        <w:rPr>
          <w:rFonts w:asciiTheme="minorHAnsi" w:hAnsiTheme="minorHAnsi" w:cstheme="minorHAnsi"/>
          <w:sz w:val="20"/>
          <w:szCs w:val="20"/>
          <w:rtl/>
        </w:rPr>
        <w:t xml:space="preserve"> </w:t>
      </w:r>
      <w:r w:rsidRPr="003B0E69">
        <w:rPr>
          <w:rFonts w:asciiTheme="minorHAnsi" w:hAnsiTheme="minorHAnsi" w:cstheme="minorHAnsi"/>
          <w:sz w:val="20"/>
          <w:szCs w:val="20"/>
        </w:rPr>
        <w:t xml:space="preserve">Mahnoush Reisi </w:t>
      </w:r>
      <w:r w:rsidRPr="003B0E69">
        <w:rPr>
          <w:rFonts w:asciiTheme="minorHAnsi" w:hAnsiTheme="minorHAnsi" w:cstheme="minorHAnsi"/>
          <w:sz w:val="20"/>
          <w:szCs w:val="20"/>
          <w:vertAlign w:val="superscript"/>
        </w:rPr>
        <w:t>1</w:t>
      </w:r>
      <w:r w:rsidRPr="003B0E69">
        <w:rPr>
          <w:rFonts w:asciiTheme="minorHAnsi" w:hAnsiTheme="minorHAnsi" w:cstheme="minorHAnsi"/>
          <w:sz w:val="20"/>
          <w:szCs w:val="20"/>
        </w:rPr>
        <w:t xml:space="preserve">,    </w:t>
      </w:r>
    </w:p>
    <w:p w:rsidR="006576B8" w:rsidRPr="003B0E69" w:rsidRDefault="006576B8" w:rsidP="006576B8">
      <w:pPr>
        <w:spacing w:line="276" w:lineRule="auto"/>
        <w:rPr>
          <w:rFonts w:asciiTheme="minorHAnsi" w:hAnsiTheme="minorHAnsi" w:cstheme="minorHAnsi"/>
          <w:sz w:val="20"/>
          <w:szCs w:val="20"/>
        </w:rPr>
      </w:pPr>
    </w:p>
    <w:p w:rsidR="006576B8" w:rsidRPr="003B0E69" w:rsidRDefault="006576B8" w:rsidP="006576B8">
      <w:pPr>
        <w:pStyle w:val="ListParagraph"/>
        <w:numPr>
          <w:ilvl w:val="0"/>
          <w:numId w:val="1"/>
        </w:numPr>
        <w:spacing w:line="276" w:lineRule="auto"/>
        <w:jc w:val="both"/>
        <w:rPr>
          <w:rFonts w:asciiTheme="minorHAnsi" w:eastAsia="Adobe Heiti Std R" w:hAnsiTheme="minorHAnsi" w:cstheme="minorHAnsi"/>
          <w:kern w:val="32"/>
          <w:sz w:val="20"/>
          <w:szCs w:val="20"/>
        </w:rPr>
      </w:pPr>
      <w:r w:rsidRPr="003B0E69">
        <w:rPr>
          <w:rFonts w:asciiTheme="minorHAnsi" w:eastAsia="Adobe Heiti Std R" w:hAnsiTheme="minorHAnsi" w:cstheme="minorHAnsi"/>
          <w:kern w:val="32"/>
          <w:sz w:val="20"/>
          <w:szCs w:val="20"/>
        </w:rPr>
        <w:t>Assistant Professor</w:t>
      </w:r>
      <w:r w:rsidRPr="003B0E69">
        <w:rPr>
          <w:rFonts w:asciiTheme="minorHAnsi" w:eastAsia="Adobe Heiti Std R" w:hAnsiTheme="minorHAnsi" w:cstheme="minorHAnsi"/>
          <w:kern w:val="32"/>
          <w:sz w:val="20"/>
          <w:szCs w:val="20"/>
        </w:rPr>
        <w:t>, Bushehr University of Medical Sciences, Bushehr, Iran.</w:t>
      </w:r>
    </w:p>
    <w:p w:rsidR="006576B8" w:rsidRPr="003B0E69" w:rsidRDefault="006576B8" w:rsidP="006576B8">
      <w:pPr>
        <w:pStyle w:val="ListParagraph"/>
        <w:numPr>
          <w:ilvl w:val="0"/>
          <w:numId w:val="1"/>
        </w:numPr>
        <w:spacing w:line="276" w:lineRule="auto"/>
        <w:jc w:val="both"/>
        <w:rPr>
          <w:rFonts w:asciiTheme="minorHAnsi" w:eastAsia="Adobe Heiti Std R" w:hAnsiTheme="minorHAnsi" w:cstheme="minorHAnsi"/>
          <w:kern w:val="32"/>
          <w:sz w:val="20"/>
          <w:szCs w:val="20"/>
        </w:rPr>
      </w:pPr>
      <w:r w:rsidRPr="003B0E69">
        <w:rPr>
          <w:rFonts w:asciiTheme="minorHAnsi" w:eastAsia="Adobe Heiti Std R" w:hAnsiTheme="minorHAnsi" w:cstheme="minorHAnsi"/>
          <w:kern w:val="32"/>
          <w:sz w:val="20"/>
          <w:szCs w:val="20"/>
        </w:rPr>
        <w:t>Professor</w:t>
      </w:r>
      <w:r w:rsidRPr="003B0E69">
        <w:rPr>
          <w:rFonts w:asciiTheme="minorHAnsi" w:eastAsia="Adobe Heiti Std R" w:hAnsiTheme="minorHAnsi" w:cstheme="minorHAnsi"/>
          <w:kern w:val="32"/>
          <w:sz w:val="20"/>
          <w:szCs w:val="20"/>
        </w:rPr>
        <w:t xml:space="preserve">, </w:t>
      </w:r>
      <w:r w:rsidRPr="003B0E69">
        <w:rPr>
          <w:rFonts w:asciiTheme="minorHAnsi" w:eastAsia="Adobe Heiti Std R" w:hAnsiTheme="minorHAnsi" w:cstheme="minorHAnsi"/>
          <w:kern w:val="32"/>
          <w:sz w:val="20"/>
          <w:szCs w:val="20"/>
        </w:rPr>
        <w:t xml:space="preserve">Qom Islamic Azad </w:t>
      </w:r>
      <w:r w:rsidRPr="003B0E69">
        <w:rPr>
          <w:rFonts w:asciiTheme="minorHAnsi" w:eastAsia="Adobe Heiti Std R" w:hAnsiTheme="minorHAnsi" w:cstheme="minorHAnsi"/>
          <w:kern w:val="32"/>
          <w:sz w:val="20"/>
          <w:szCs w:val="20"/>
        </w:rPr>
        <w:t>University, Qom, Iran.</w:t>
      </w:r>
    </w:p>
    <w:p w:rsidR="006576B8" w:rsidRPr="006561BC" w:rsidRDefault="006576B8" w:rsidP="006576B8">
      <w:pPr>
        <w:pStyle w:val="ListParagraph"/>
        <w:spacing w:line="276" w:lineRule="auto"/>
        <w:jc w:val="both"/>
        <w:rPr>
          <w:rFonts w:ascii="Times New Roman" w:eastAsia="Adobe Heiti Std R" w:hAnsi="Times New Roman" w:cs="Times New Roman"/>
          <w:kern w:val="32"/>
          <w:sz w:val="20"/>
          <w:szCs w:val="20"/>
        </w:rPr>
      </w:pPr>
    </w:p>
    <w:p w:rsidR="006576B8" w:rsidRPr="006561BC" w:rsidRDefault="006576B8" w:rsidP="006576B8">
      <w:pPr>
        <w:pStyle w:val="ListParagraph"/>
        <w:spacing w:line="276" w:lineRule="auto"/>
        <w:jc w:val="both"/>
        <w:rPr>
          <w:rFonts w:ascii="Times New Roman" w:eastAsia="Adobe Heiti Std R" w:hAnsi="Times New Roman" w:cs="Times New Roman"/>
          <w:kern w:val="32"/>
          <w:sz w:val="20"/>
          <w:szCs w:val="20"/>
        </w:rPr>
      </w:pPr>
      <w:r w:rsidRPr="006561BC">
        <w:rPr>
          <w:rFonts w:ascii="Times New Roman" w:eastAsia="Adobe Heiti Std R" w:hAnsi="Times New Roman" w:cs="Times New Roman"/>
          <w:kern w:val="32"/>
          <w:sz w:val="20"/>
          <w:szCs w:val="20"/>
        </w:rPr>
        <w:t xml:space="preserve"> </w:t>
      </w:r>
    </w:p>
    <w:p w:rsidR="006576B8" w:rsidRPr="003B0E69" w:rsidRDefault="006576B8" w:rsidP="00832953">
      <w:pPr>
        <w:spacing w:line="276" w:lineRule="auto"/>
        <w:jc w:val="both"/>
        <w:rPr>
          <w:rFonts w:asciiTheme="minorHAnsi" w:hAnsiTheme="minorHAnsi" w:cstheme="minorHAnsi"/>
          <w:b/>
          <w:bCs/>
          <w:sz w:val="22"/>
          <w:szCs w:val="22"/>
          <w:rtl/>
          <w:lang w:bidi="fa-IR"/>
        </w:rPr>
      </w:pPr>
      <w:r w:rsidRPr="003B0E69">
        <w:rPr>
          <w:rFonts w:asciiTheme="minorHAnsi" w:hAnsiTheme="minorHAnsi" w:cstheme="minorHAnsi"/>
          <w:b/>
          <w:bCs/>
          <w:sz w:val="22"/>
          <w:szCs w:val="22"/>
          <w:lang w:bidi="fa-IR"/>
        </w:rPr>
        <w:t>Abstract</w:t>
      </w:r>
    </w:p>
    <w:p w:rsidR="006576B8" w:rsidRPr="003B0E69" w:rsidRDefault="006576B8" w:rsidP="00832953">
      <w:pPr>
        <w:spacing w:line="276" w:lineRule="auto"/>
        <w:jc w:val="both"/>
        <w:rPr>
          <w:rFonts w:asciiTheme="minorHAnsi" w:hAnsiTheme="minorHAnsi" w:cstheme="minorHAnsi"/>
          <w:b/>
          <w:bCs/>
          <w:sz w:val="22"/>
          <w:szCs w:val="22"/>
          <w:lang w:bidi="fa-IR"/>
        </w:rPr>
      </w:pPr>
      <w:r w:rsidRPr="003B0E69">
        <w:rPr>
          <w:rFonts w:asciiTheme="minorHAnsi" w:hAnsiTheme="minorHAnsi" w:cstheme="minorHAnsi"/>
          <w:b/>
          <w:bCs/>
          <w:sz w:val="22"/>
          <w:szCs w:val="22"/>
          <w:lang w:bidi="fa-IR"/>
        </w:rPr>
        <w:t xml:space="preserve">Background: </w:t>
      </w:r>
      <w:r w:rsidRPr="003B0E69">
        <w:rPr>
          <w:rFonts w:asciiTheme="minorHAnsi" w:hAnsiTheme="minorHAnsi" w:cstheme="minorHAnsi"/>
          <w:sz w:val="22"/>
          <w:szCs w:val="22"/>
          <w:lang w:bidi="fa-IR"/>
        </w:rPr>
        <w:t>Health literacy strategies are evidence-based techniques that potentially could improve the quality of patient education and health communication for low health literacy patients. In this study, we aimed to evaluate and educational intervention based on the theory of planned behavior for implementing health literacy strategies by nurses in patient education.</w:t>
      </w:r>
    </w:p>
    <w:p w:rsidR="006576B8" w:rsidRPr="003B0E69" w:rsidRDefault="006576B8" w:rsidP="00832953">
      <w:pPr>
        <w:spacing w:line="276" w:lineRule="auto"/>
        <w:jc w:val="both"/>
        <w:rPr>
          <w:rFonts w:asciiTheme="minorHAnsi" w:hAnsiTheme="minorHAnsi" w:cstheme="minorHAnsi"/>
          <w:b/>
          <w:bCs/>
          <w:sz w:val="22"/>
          <w:szCs w:val="22"/>
          <w:lang w:bidi="fa-IR"/>
        </w:rPr>
      </w:pPr>
      <w:r w:rsidRPr="003B0E69">
        <w:rPr>
          <w:rFonts w:asciiTheme="minorHAnsi" w:hAnsiTheme="minorHAnsi" w:cstheme="minorHAnsi"/>
          <w:b/>
          <w:bCs/>
          <w:sz w:val="22"/>
          <w:szCs w:val="22"/>
          <w:lang w:bidi="fa-IR"/>
        </w:rPr>
        <w:t xml:space="preserve">Methods: </w:t>
      </w:r>
      <w:r w:rsidRPr="003B0E69">
        <w:rPr>
          <w:rFonts w:asciiTheme="minorHAnsi" w:hAnsiTheme="minorHAnsi" w:cstheme="minorHAnsi"/>
          <w:sz w:val="22"/>
          <w:szCs w:val="22"/>
          <w:lang w:bidi="fa-IR"/>
        </w:rPr>
        <w:t xml:space="preserve">This was an experimental study with pretest-posttest comparison group design on 64 nurses of Al-Zahra educational hospital, Isfahan, Iran in 2015. The intervention program was designed according to the data extracted from a cross-sectional study. The intervention was consisting of a two-day workshop </w:t>
      </w:r>
      <w:r w:rsidRPr="003B0E69">
        <w:rPr>
          <w:rFonts w:asciiTheme="minorHAnsi" w:hAnsiTheme="minorHAnsi" w:cstheme="minorHAnsi"/>
          <w:sz w:val="22"/>
          <w:szCs w:val="22"/>
          <w:lang w:bidi="fa-IR"/>
        </w:rPr>
        <w:t>and</w:t>
      </w:r>
      <w:r w:rsidRPr="003B0E69">
        <w:rPr>
          <w:rFonts w:asciiTheme="minorHAnsi" w:hAnsiTheme="minorHAnsi" w:cstheme="minorHAnsi"/>
          <w:sz w:val="22"/>
          <w:szCs w:val="22"/>
          <w:lang w:bidi="fa-IR"/>
        </w:rPr>
        <w:t xml:space="preserve"> pamphlets, SMS, multimedia messages, and Internet group discussion through the Viber© mobile application. Data were analyzed via Repeated-Measure and ANOVA by SPSS.</w:t>
      </w:r>
    </w:p>
    <w:p w:rsidR="006576B8" w:rsidRPr="003B0E69" w:rsidRDefault="006576B8" w:rsidP="00832953">
      <w:pPr>
        <w:spacing w:line="276" w:lineRule="auto"/>
        <w:jc w:val="both"/>
        <w:rPr>
          <w:rFonts w:asciiTheme="minorHAnsi" w:hAnsiTheme="minorHAnsi" w:cstheme="minorHAnsi"/>
          <w:b/>
          <w:bCs/>
          <w:sz w:val="22"/>
          <w:szCs w:val="22"/>
          <w:lang w:bidi="fa-IR"/>
        </w:rPr>
      </w:pPr>
      <w:r w:rsidRPr="003B0E69">
        <w:rPr>
          <w:rFonts w:asciiTheme="minorHAnsi" w:hAnsiTheme="minorHAnsi" w:cstheme="minorHAnsi"/>
          <w:b/>
          <w:bCs/>
          <w:sz w:val="22"/>
          <w:szCs w:val="22"/>
          <w:lang w:bidi="fa-IR"/>
        </w:rPr>
        <w:t xml:space="preserve">Results: </w:t>
      </w:r>
      <w:r w:rsidRPr="003B0E69">
        <w:rPr>
          <w:rFonts w:asciiTheme="minorHAnsi" w:hAnsiTheme="minorHAnsi" w:cstheme="minorHAnsi"/>
          <w:sz w:val="22"/>
          <w:szCs w:val="22"/>
          <w:lang w:bidi="fa-IR"/>
        </w:rPr>
        <w:t>Study groups did not differ signiﬁcantly at baseline. After 3-months, improvements in knowledge, attitude, subjective norms, perceived behavioral control, intention, and practice in the intervention group was signiﬁcantly greater than the control group after the intervention and remained signiﬁcant at 6-months. Bonferroni pairwise follow-up conﬁrmed signiﬁcant positive differences between baseline values and all subsequent measures over time.</w:t>
      </w:r>
    </w:p>
    <w:p w:rsidR="006576B8" w:rsidRPr="003B0E69" w:rsidRDefault="006576B8" w:rsidP="00832953">
      <w:pPr>
        <w:spacing w:line="276" w:lineRule="auto"/>
        <w:jc w:val="both"/>
        <w:rPr>
          <w:rFonts w:asciiTheme="minorHAnsi" w:hAnsiTheme="minorHAnsi" w:cstheme="minorHAnsi"/>
          <w:b/>
          <w:bCs/>
          <w:sz w:val="22"/>
          <w:szCs w:val="22"/>
          <w:lang w:bidi="fa-IR"/>
        </w:rPr>
      </w:pPr>
      <w:r w:rsidRPr="003B0E69">
        <w:rPr>
          <w:rFonts w:asciiTheme="minorHAnsi" w:hAnsiTheme="minorHAnsi" w:cstheme="minorHAnsi"/>
          <w:b/>
          <w:bCs/>
          <w:sz w:val="22"/>
          <w:szCs w:val="22"/>
          <w:lang w:bidi="fa-IR"/>
        </w:rPr>
        <w:t xml:space="preserve">Conclusion: </w:t>
      </w:r>
      <w:r w:rsidRPr="003B0E69">
        <w:rPr>
          <w:rFonts w:asciiTheme="minorHAnsi" w:hAnsiTheme="minorHAnsi" w:cstheme="minorHAnsi"/>
          <w:sz w:val="22"/>
          <w:szCs w:val="22"/>
          <w:lang w:bidi="fa-IR"/>
        </w:rPr>
        <w:t xml:space="preserve">The results of this study demonstrate the advantage of TPB-based intervention in nurses for improving knowledge, TPB constructs, </w:t>
      </w:r>
      <w:proofErr w:type="gramStart"/>
      <w:r w:rsidRPr="003B0E69">
        <w:rPr>
          <w:rFonts w:asciiTheme="minorHAnsi" w:hAnsiTheme="minorHAnsi" w:cstheme="minorHAnsi"/>
          <w:sz w:val="22"/>
          <w:szCs w:val="22"/>
          <w:lang w:bidi="fa-IR"/>
        </w:rPr>
        <w:t>and also</w:t>
      </w:r>
      <w:proofErr w:type="gramEnd"/>
      <w:r w:rsidRPr="003B0E69">
        <w:rPr>
          <w:rFonts w:asciiTheme="minorHAnsi" w:hAnsiTheme="minorHAnsi" w:cstheme="minorHAnsi"/>
          <w:sz w:val="22"/>
          <w:szCs w:val="22"/>
          <w:lang w:bidi="fa-IR"/>
        </w:rPr>
        <w:t xml:space="preserve"> practice in health literacy strategies in patient education in 6-months follow-up. These results suggest that TPB-based interventions about the application of health literacy strategies in patient education for nurses are effective. Furthermore, more studies required to assess the long-term effectiveness of this kind of interventions on health care providers’ behavior </w:t>
      </w:r>
      <w:proofErr w:type="gramStart"/>
      <w:r w:rsidRPr="003B0E69">
        <w:rPr>
          <w:rFonts w:asciiTheme="minorHAnsi" w:hAnsiTheme="minorHAnsi" w:cstheme="minorHAnsi"/>
          <w:sz w:val="22"/>
          <w:szCs w:val="22"/>
          <w:lang w:bidi="fa-IR"/>
        </w:rPr>
        <w:t>and also</w:t>
      </w:r>
      <w:proofErr w:type="gramEnd"/>
      <w:r w:rsidRPr="003B0E69">
        <w:rPr>
          <w:rFonts w:asciiTheme="minorHAnsi" w:hAnsiTheme="minorHAnsi" w:cstheme="minorHAnsi"/>
          <w:sz w:val="22"/>
          <w:szCs w:val="22"/>
          <w:lang w:bidi="fa-IR"/>
        </w:rPr>
        <w:t xml:space="preserve"> health indexes.</w:t>
      </w:r>
    </w:p>
    <w:p w:rsidR="006576B8" w:rsidRPr="003B0E69" w:rsidRDefault="006576B8" w:rsidP="006576B8">
      <w:pPr>
        <w:spacing w:line="276" w:lineRule="auto"/>
        <w:ind w:firstLine="139"/>
        <w:jc w:val="both"/>
        <w:rPr>
          <w:rFonts w:asciiTheme="minorHAnsi" w:hAnsiTheme="minorHAnsi" w:cstheme="minorHAnsi"/>
          <w:sz w:val="22"/>
          <w:szCs w:val="22"/>
          <w:lang w:bidi="fa-IR"/>
        </w:rPr>
      </w:pPr>
      <w:r w:rsidRPr="003B0E69">
        <w:rPr>
          <w:rFonts w:asciiTheme="minorHAnsi" w:hAnsiTheme="minorHAnsi" w:cstheme="minorHAnsi"/>
          <w:b/>
          <w:bCs/>
          <w:sz w:val="22"/>
          <w:szCs w:val="22"/>
          <w:lang w:bidi="fa-IR"/>
        </w:rPr>
        <w:t>Keywords:</w:t>
      </w:r>
      <w:r w:rsidRPr="003B0E69">
        <w:rPr>
          <w:rFonts w:asciiTheme="minorHAnsi" w:hAnsiTheme="minorHAnsi" w:cstheme="minorHAnsi"/>
          <w:sz w:val="22"/>
          <w:szCs w:val="24"/>
        </w:rPr>
        <w:t xml:space="preserve"> </w:t>
      </w:r>
      <w:r w:rsidRPr="003B0E69">
        <w:rPr>
          <w:rFonts w:asciiTheme="minorHAnsi" w:hAnsiTheme="minorHAnsi" w:cstheme="minorHAnsi"/>
          <w:sz w:val="22"/>
          <w:szCs w:val="22"/>
          <w:lang w:bidi="fa-IR"/>
        </w:rPr>
        <w:t>health literacy, patient education, theory of planned behavior, nurse practitioners.</w:t>
      </w:r>
    </w:p>
    <w:p w:rsidR="006576B8" w:rsidRDefault="006576B8" w:rsidP="006576B8">
      <w:pPr>
        <w:spacing w:line="276" w:lineRule="auto"/>
        <w:ind w:firstLine="139"/>
        <w:jc w:val="both"/>
        <w:rPr>
          <w:rFonts w:cs="Times New Roman"/>
          <w:sz w:val="22"/>
          <w:szCs w:val="22"/>
          <w:lang w:bidi="fa-IR"/>
        </w:rPr>
      </w:pPr>
    </w:p>
    <w:p w:rsidR="006576B8" w:rsidRDefault="006576B8" w:rsidP="006576B8">
      <w:pPr>
        <w:spacing w:line="276" w:lineRule="auto"/>
        <w:ind w:firstLine="139"/>
        <w:jc w:val="both"/>
        <w:rPr>
          <w:rFonts w:cs="Times New Roman"/>
          <w:sz w:val="22"/>
          <w:szCs w:val="22"/>
          <w:lang w:bidi="fa-IR"/>
        </w:rPr>
      </w:pPr>
    </w:p>
    <w:p w:rsidR="006576B8" w:rsidRPr="006576B8" w:rsidRDefault="006576B8" w:rsidP="006576B8">
      <w:pPr>
        <w:spacing w:line="276" w:lineRule="auto"/>
        <w:ind w:firstLine="139"/>
        <w:jc w:val="both"/>
        <w:rPr>
          <w:rFonts w:ascii="Calibri Light" w:hAnsi="Calibri Light" w:cs="B Badr"/>
          <w:b/>
          <w:bCs/>
          <w:szCs w:val="24"/>
          <w:lang w:bidi="fa-IR"/>
        </w:rPr>
      </w:pPr>
      <w:r w:rsidRPr="006576B8">
        <w:rPr>
          <w:rFonts w:cs="Times New Roman"/>
          <w:b/>
          <w:bCs/>
          <w:sz w:val="22"/>
          <w:szCs w:val="22"/>
          <w:lang w:bidi="fa-IR"/>
        </w:rPr>
        <w:t>Recent Publications:</w:t>
      </w:r>
    </w:p>
    <w:p w:rsidR="00B4323B" w:rsidRDefault="006576B8" w:rsidP="006576B8">
      <w:pPr>
        <w:pStyle w:val="ListParagraph"/>
        <w:numPr>
          <w:ilvl w:val="0"/>
          <w:numId w:val="2"/>
        </w:numPr>
      </w:pPr>
      <w:r w:rsidRPr="006576B8">
        <w:t xml:space="preserve">Reisi M, Mostafavi F, </w:t>
      </w:r>
      <w:proofErr w:type="spellStart"/>
      <w:r w:rsidRPr="006576B8">
        <w:t>Javadzede</w:t>
      </w:r>
      <w:proofErr w:type="spellEnd"/>
      <w:r w:rsidRPr="006576B8">
        <w:t xml:space="preserve"> H, Mahaki B, Sharifirad G, Tavassoli E. The Functional, Communicative, and Critical Health Literacy (FCCHL) Scales: Cross-Cultural Adaptation and the Psychometric Properties of the Iranian Version. Iran Red Crescent Med J. 2017;19(1</w:t>
      </w:r>
      <w:proofErr w:type="gramStart"/>
      <w:r w:rsidRPr="006576B8">
        <w:t>):e</w:t>
      </w:r>
      <w:proofErr w:type="gramEnd"/>
      <w:r w:rsidRPr="006576B8">
        <w:t>29700.</w:t>
      </w:r>
    </w:p>
    <w:p w:rsidR="006576B8" w:rsidRDefault="006576B8" w:rsidP="006576B8">
      <w:pPr>
        <w:pStyle w:val="ListParagraph"/>
        <w:numPr>
          <w:ilvl w:val="0"/>
          <w:numId w:val="2"/>
        </w:numPr>
      </w:pPr>
      <w:r w:rsidRPr="006576B8">
        <w:t xml:space="preserve">Javadzade H, </w:t>
      </w:r>
      <w:proofErr w:type="spellStart"/>
      <w:r w:rsidRPr="006576B8">
        <w:t>Badrian</w:t>
      </w:r>
      <w:proofErr w:type="spellEnd"/>
      <w:r w:rsidRPr="006576B8">
        <w:t xml:space="preserve"> S, Reisi M, Askari N, </w:t>
      </w:r>
      <w:proofErr w:type="spellStart"/>
      <w:r w:rsidRPr="006576B8">
        <w:t>Meshklati</w:t>
      </w:r>
      <w:proofErr w:type="spellEnd"/>
      <w:r w:rsidRPr="006576B8">
        <w:t xml:space="preserve"> N, </w:t>
      </w:r>
      <w:proofErr w:type="spellStart"/>
      <w:r w:rsidRPr="006576B8">
        <w:t>Badrian</w:t>
      </w:r>
      <w:proofErr w:type="spellEnd"/>
      <w:r w:rsidRPr="006576B8">
        <w:t xml:space="preserve"> M. A study of the frequency of occupational injuries and knowledge of standard </w:t>
      </w:r>
      <w:proofErr w:type="spellStart"/>
      <w:r w:rsidRPr="006576B8">
        <w:t>percuations</w:t>
      </w:r>
      <w:proofErr w:type="spellEnd"/>
      <w:r w:rsidRPr="006576B8">
        <w:t xml:space="preserve"> among </w:t>
      </w:r>
      <w:proofErr w:type="spellStart"/>
      <w:r w:rsidRPr="006576B8">
        <w:t>labratoty</w:t>
      </w:r>
      <w:proofErr w:type="spellEnd"/>
      <w:r w:rsidRPr="006576B8">
        <w:t xml:space="preserve"> staff and nurses. Health System Research. 2016;11(4):671-6.</w:t>
      </w:r>
    </w:p>
    <w:p w:rsidR="006576B8" w:rsidRDefault="006576B8" w:rsidP="006576B8">
      <w:pPr>
        <w:pStyle w:val="ListParagraph"/>
        <w:numPr>
          <w:ilvl w:val="0"/>
          <w:numId w:val="2"/>
        </w:numPr>
      </w:pPr>
      <w:r w:rsidRPr="006576B8">
        <w:lastRenderedPageBreak/>
        <w:t>Javadzade H, Mostafavi F, Reisi M, Mahaki B, Nasr Esfahani M, Sharifirad G. Relationship between knowledge and implementing health literacy strategies in patient education. Military Caring Sciences. 2015;2(1):31-40.</w:t>
      </w:r>
    </w:p>
    <w:p w:rsidR="006576B8" w:rsidRDefault="006576B8" w:rsidP="006576B8">
      <w:pPr>
        <w:pStyle w:val="ListParagraph"/>
        <w:numPr>
          <w:ilvl w:val="0"/>
          <w:numId w:val="2"/>
        </w:numPr>
      </w:pPr>
      <w:r w:rsidRPr="006576B8">
        <w:t xml:space="preserve">Sharifirad G, Mostafavi F, Reisi M, Mahaki B, Javadzade H, </w:t>
      </w:r>
      <w:proofErr w:type="spellStart"/>
      <w:r w:rsidRPr="006576B8">
        <w:t>Heydarabadi</w:t>
      </w:r>
      <w:proofErr w:type="spellEnd"/>
      <w:r w:rsidRPr="006576B8">
        <w:t xml:space="preserve"> AB, et al. Predictors of Nurses’ Intention and Behavior in Using Health Literacy Strategies in Patient Education Based on the Theory of Planned Behavior. Materia socio-</w:t>
      </w:r>
      <w:proofErr w:type="spellStart"/>
      <w:r w:rsidRPr="006576B8">
        <w:t>medica</w:t>
      </w:r>
      <w:proofErr w:type="spellEnd"/>
      <w:r w:rsidRPr="006576B8">
        <w:t>. 2015;27(1):22.</w:t>
      </w:r>
    </w:p>
    <w:p w:rsidR="006576B8" w:rsidRDefault="006576B8" w:rsidP="006576B8">
      <w:pPr>
        <w:pStyle w:val="ListParagraph"/>
        <w:numPr>
          <w:ilvl w:val="0"/>
          <w:numId w:val="2"/>
        </w:numPr>
      </w:pPr>
      <w:r w:rsidRPr="006576B8">
        <w:t>Reisi M, Mostafavi F, Javadzade H, Mahaki B, Tavassoli E, Sharifirad G. Communicative and critical health literacy and self-care behaviors in patients with type 2 diabetes. Iranian journal of Diabetes and Metabolism. 2016;14(3):199-208.</w:t>
      </w:r>
    </w:p>
    <w:p w:rsidR="00730652" w:rsidRDefault="00730652" w:rsidP="00730652"/>
    <w:p w:rsidR="00730652" w:rsidRDefault="00730652" w:rsidP="00730652">
      <w:r>
        <w:rPr>
          <w:noProof/>
        </w:rPr>
        <w:drawing>
          <wp:anchor distT="0" distB="0" distL="114300" distR="114300" simplePos="0" relativeHeight="251658240" behindDoc="0" locked="0" layoutInCell="1" allowOverlap="1">
            <wp:simplePos x="0" y="0"/>
            <wp:positionH relativeFrom="column">
              <wp:posOffset>0</wp:posOffset>
            </wp:positionH>
            <wp:positionV relativeFrom="paragraph">
              <wp:posOffset>0</wp:posOffset>
            </wp:positionV>
            <wp:extent cx="1181100" cy="1610592"/>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_2016-small__75ab4187.jpg"/>
                    <pic:cNvPicPr/>
                  </pic:nvPicPr>
                  <pic:blipFill>
                    <a:blip r:embed="rId5">
                      <a:extLst>
                        <a:ext uri="{28A0092B-C50C-407E-A947-70E740481C1C}">
                          <a14:useLocalDpi xmlns:a14="http://schemas.microsoft.com/office/drawing/2010/main" val="0"/>
                        </a:ext>
                      </a:extLst>
                    </a:blip>
                    <a:stretch>
                      <a:fillRect/>
                    </a:stretch>
                  </pic:blipFill>
                  <pic:spPr>
                    <a:xfrm>
                      <a:off x="0" y="0"/>
                      <a:ext cx="1181100" cy="1610592"/>
                    </a:xfrm>
                    <a:prstGeom prst="rect">
                      <a:avLst/>
                    </a:prstGeom>
                  </pic:spPr>
                </pic:pic>
              </a:graphicData>
            </a:graphic>
          </wp:anchor>
        </w:drawing>
      </w:r>
    </w:p>
    <w:p w:rsidR="003B0E69" w:rsidRDefault="003B0E69" w:rsidP="00730652"/>
    <w:p w:rsidR="00730652" w:rsidRPr="003B0E69" w:rsidRDefault="00730652" w:rsidP="003B0E69">
      <w:pPr>
        <w:ind w:left="360"/>
        <w:rPr>
          <w:rFonts w:asciiTheme="minorHAnsi" w:hAnsiTheme="minorHAnsi" w:cstheme="minorHAnsi"/>
          <w:b/>
          <w:bCs/>
        </w:rPr>
      </w:pPr>
      <w:r w:rsidRPr="003B0E69">
        <w:rPr>
          <w:rFonts w:asciiTheme="minorHAnsi" w:hAnsiTheme="minorHAnsi" w:cstheme="minorHAnsi"/>
          <w:b/>
          <w:bCs/>
        </w:rPr>
        <w:t>Biography:</w:t>
      </w:r>
    </w:p>
    <w:p w:rsidR="00730652" w:rsidRPr="003B0E69" w:rsidRDefault="00730652" w:rsidP="003B0E69">
      <w:pPr>
        <w:ind w:left="360"/>
        <w:rPr>
          <w:rFonts w:asciiTheme="minorHAnsi" w:hAnsiTheme="minorHAnsi" w:cstheme="minorHAnsi"/>
        </w:rPr>
      </w:pPr>
      <w:r w:rsidRPr="003B0E69">
        <w:rPr>
          <w:rFonts w:asciiTheme="minorHAnsi" w:hAnsiTheme="minorHAnsi" w:cstheme="minorHAnsi"/>
        </w:rPr>
        <w:t>Assistant Professor skilled in Health Literacy and its Strategies, Health education, Patient Education, Developing Educational Content and Media, Health Education Research, Business Model Generation and, Health Startup Weekend Mentoring. Strong education professional with a Doctor of Philosophy (Ph.D.) focused on Health Education and Promotion from Isfahan University of Medical Sciences.</w:t>
      </w:r>
    </w:p>
    <w:p w:rsidR="003B0E69" w:rsidRDefault="003B0E69" w:rsidP="00730652">
      <w:pPr>
        <w:jc w:val="both"/>
      </w:pPr>
    </w:p>
    <w:p w:rsidR="003B0E69" w:rsidRDefault="003B0E69" w:rsidP="00730652">
      <w:pPr>
        <w:jc w:val="both"/>
      </w:pPr>
    </w:p>
    <w:p w:rsidR="003B0E69" w:rsidRDefault="003B0E69" w:rsidP="00730652">
      <w:pPr>
        <w:jc w:val="both"/>
      </w:pPr>
    </w:p>
    <w:p w:rsidR="003B0E69" w:rsidRDefault="003B0E69" w:rsidP="00730652">
      <w:pPr>
        <w:jc w:val="both"/>
      </w:pPr>
    </w:p>
    <w:p w:rsidR="003B0E69" w:rsidRDefault="003B0E69" w:rsidP="00730652">
      <w:pPr>
        <w:jc w:val="both"/>
      </w:pPr>
    </w:p>
    <w:p w:rsidR="003B0E69" w:rsidRDefault="003B0E69" w:rsidP="003B0E69">
      <w:pPr>
        <w:jc w:val="center"/>
      </w:pPr>
      <w:r>
        <w:t>Email: sh.javadzadeh@bpums.ac.ir</w:t>
      </w:r>
    </w:p>
    <w:sectPr w:rsidR="003B0E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 Lotus">
    <w:panose1 w:val="00000400000000000000"/>
    <w:charset w:val="B2"/>
    <w:family w:val="auto"/>
    <w:pitch w:val="variable"/>
    <w:sig w:usb0="00002001" w:usb1="80000000" w:usb2="00000008" w:usb3="00000000" w:csb0="00000040" w:csb1="00000000"/>
  </w:font>
  <w:font w:name="Adobe Heiti Std R">
    <w:charset w:val="80"/>
    <w:family w:val="swiss"/>
    <w:notTrueType/>
    <w:pitch w:val="variable"/>
    <w:sig w:usb0="00000207" w:usb1="0A0F1810" w:usb2="00000016" w:usb3="00000000" w:csb0="00060007" w:csb1="00000000"/>
  </w:font>
  <w:font w:name="Calibri Light">
    <w:panose1 w:val="020F0302020204030204"/>
    <w:charset w:val="00"/>
    <w:family w:val="swiss"/>
    <w:pitch w:val="variable"/>
    <w:sig w:usb0="A0002AEF" w:usb1="4000207B" w:usb2="00000000" w:usb3="00000000" w:csb0="000001FF" w:csb1="00000000"/>
  </w:font>
  <w:font w:name="B Badr">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D6BA3"/>
    <w:multiLevelType w:val="hybridMultilevel"/>
    <w:tmpl w:val="D7C6629C"/>
    <w:lvl w:ilvl="0" w:tplc="8A1A8AF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1CB3A22"/>
    <w:multiLevelType w:val="hybridMultilevel"/>
    <w:tmpl w:val="9AF08BA2"/>
    <w:lvl w:ilvl="0" w:tplc="C5EEDAF6">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6B8"/>
    <w:rsid w:val="00254462"/>
    <w:rsid w:val="003B0E69"/>
    <w:rsid w:val="006576B8"/>
    <w:rsid w:val="00730652"/>
    <w:rsid w:val="007E2993"/>
    <w:rsid w:val="00832953"/>
    <w:rsid w:val="008D0C58"/>
    <w:rsid w:val="00B4323B"/>
    <w:rsid w:val="00DD7B3C"/>
    <w:rsid w:val="00ED37B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038C0"/>
  <w15:chartTrackingRefBased/>
  <w15:docId w15:val="{8C4AE4BA-4306-41B2-BD67-00A47B145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576B8"/>
    <w:pPr>
      <w:spacing w:after="0" w:line="240" w:lineRule="auto"/>
    </w:pPr>
    <w:rPr>
      <w:rFonts w:ascii="Times New Roman" w:eastAsia="Times New Roman" w:hAnsi="Times New Roman" w:cs="B Lotus"/>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6576B8"/>
    <w:pPr>
      <w:spacing w:after="160" w:line="259" w:lineRule="auto"/>
      <w:ind w:left="720"/>
      <w:contextualSpacing/>
    </w:pPr>
    <w:rPr>
      <w:rFonts w:ascii="Calibri" w:eastAsia="Calibri" w:hAnsi="Calibri" w:cs="Arial"/>
      <w:sz w:val="22"/>
      <w:szCs w:val="22"/>
    </w:rPr>
  </w:style>
  <w:style w:type="character" w:customStyle="1" w:styleId="ListParagraphChar">
    <w:name w:val="List Paragraph Char"/>
    <w:basedOn w:val="DefaultParagraphFont"/>
    <w:link w:val="ListParagraph"/>
    <w:uiPriority w:val="34"/>
    <w:rsid w:val="006576B8"/>
    <w:rPr>
      <w:rFonts w:ascii="Calibri" w:eastAsia="Calibri" w:hAnsi="Calibri"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Ph,D. HE&amp;HP</dc:creator>
  <cp:keywords/>
  <dc:description/>
  <cp:lastModifiedBy>Ph,D. HE&amp;HP</cp:lastModifiedBy>
  <cp:revision>4</cp:revision>
  <dcterms:created xsi:type="dcterms:W3CDTF">2017-06-17T05:07:00Z</dcterms:created>
  <dcterms:modified xsi:type="dcterms:W3CDTF">2017-06-17T05:34:00Z</dcterms:modified>
</cp:coreProperties>
</file>