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56578" w:rsidP="00494130">
      <w:pPr>
        <w:pStyle w:val="1"/>
        <w:spacing w:before="170"/>
        <w:ind w:left="0"/>
      </w:pPr>
      <w:r>
        <w:rPr>
          <w:color w:val="337AB7"/>
        </w:rPr>
        <w:t>Investigation on KAP of dysphagia management among geriatric nurses in China</w:t>
      </w:r>
    </w:p>
    <w:p w:rsidR="0078738A" w:rsidRDefault="000D6AD8" w:rsidP="005973B9">
      <w:pPr>
        <w:pStyle w:val="a3"/>
        <w:spacing w:before="73" w:line="198" w:lineRule="exact"/>
        <w:ind w:left="100" w:right="5987"/>
        <w:rPr>
          <w:rFonts w:ascii="Arial"/>
        </w:rPr>
      </w:pPr>
      <w:proofErr w:type="spellStart"/>
      <w:r>
        <w:rPr>
          <w:rFonts w:ascii="Arial"/>
        </w:rPr>
        <w:t>JingYi</w:t>
      </w:r>
      <w:proofErr w:type="spellEnd"/>
      <w:r>
        <w:rPr>
          <w:rFonts w:ascii="Arial"/>
        </w:rPr>
        <w:t xml:space="preserve"> Wei, China</w:t>
      </w:r>
    </w:p>
    <w:p w:rsidR="00AE3E37" w:rsidRPr="004624AF" w:rsidRDefault="004624AF" w:rsidP="004624AF">
      <w:pPr>
        <w:pStyle w:val="a3"/>
        <w:spacing w:before="73" w:line="198" w:lineRule="exact"/>
        <w:ind w:left="100" w:right="5987"/>
        <w:rPr>
          <w:rFonts w:ascii="Arial" w:eastAsiaTheme="minorEastAsia" w:hint="eastAsia"/>
          <w:sz w:val="20"/>
          <w:lang w:eastAsia="zh-CN"/>
        </w:rPr>
      </w:pPr>
      <w:proofErr w:type="spellStart"/>
      <w:r w:rsidRPr="004624AF">
        <w:rPr>
          <w:rFonts w:ascii="Arial" w:hint="eastAsia"/>
        </w:rPr>
        <w:t>XueMei</w:t>
      </w:r>
      <w:proofErr w:type="spellEnd"/>
      <w:r w:rsidRPr="004624AF">
        <w:rPr>
          <w:rFonts w:ascii="Arial" w:hint="eastAsia"/>
        </w:rPr>
        <w:t xml:space="preserve"> </w:t>
      </w:r>
      <w:proofErr w:type="spellStart"/>
      <w:r w:rsidRPr="004624AF">
        <w:rPr>
          <w:rFonts w:ascii="Arial" w:hint="eastAsia"/>
        </w:rPr>
        <w:t>Zhang</w:t>
      </w:r>
      <w:proofErr w:type="gramStart"/>
      <w:r w:rsidRPr="004624AF">
        <w:rPr>
          <w:rFonts w:ascii="Arial" w:hint="eastAsia"/>
        </w:rPr>
        <w:t>,China</w:t>
      </w:r>
      <w:proofErr w:type="spellEnd"/>
      <w:proofErr w:type="gramEnd"/>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A9710C" w:rsidP="00102735">
      <w:pPr>
        <w:pStyle w:val="a3"/>
        <w:spacing w:before="90" w:line="280" w:lineRule="auto"/>
        <w:ind w:left="100"/>
        <w:jc w:val="both"/>
      </w:pPr>
      <w:r>
        <w:t xml:space="preserve">Statement of the Problem: </w:t>
      </w:r>
      <w:r w:rsidR="00102735">
        <w:t>Swallowing disorders have gradually developed into a common cl</w:t>
      </w:r>
      <w:r w:rsidR="00102735">
        <w:t xml:space="preserve">inical problem in the elderly. </w:t>
      </w:r>
      <w:r w:rsidR="00102735">
        <w:t>Studies have shown that early effective nursing interventions can reduce the occurrence of related complications. According to the knowledge-belief-theory perspective, knowledge and attitu</w:t>
      </w:r>
      <w:r w:rsidR="00102735">
        <w:t xml:space="preserve">de have an impact on practice. </w:t>
      </w:r>
      <w:r w:rsidR="00102735">
        <w:t>Rich knowledge is needed as the basis, so the nurses, especially the geriatric nurses who work more closely with the elderly, their mastery level of knowledge about elderly swallowing disorders will determine the follow-up management work.</w:t>
      </w:r>
      <w:r w:rsidR="00102735">
        <w:t xml:space="preserve"> </w:t>
      </w:r>
      <w:r w:rsidR="00102735" w:rsidRPr="00102735">
        <w:t>So the purpose of this study is</w:t>
      </w:r>
      <w:r w:rsidR="00102735">
        <w:t xml:space="preserve"> t</w:t>
      </w:r>
      <w:r w:rsidR="00A51972" w:rsidRPr="00A51972">
        <w:t xml:space="preserve">o investigate the KAP about dysphagia management in the elderly among nurses of geriatric department and to analyze the influencing factors and existing problems, designed to provide reference for nursing managers to further knowledge training. </w:t>
      </w:r>
      <w:r>
        <w:t xml:space="preserve"> Methodolog</w:t>
      </w:r>
      <w:r w:rsidR="0078738A">
        <w:t xml:space="preserve">y &amp; Theoretical Orientation: </w:t>
      </w:r>
      <w:r w:rsidR="00A51972" w:rsidRPr="00A51972">
        <w:t xml:space="preserve">A self-designed questionnaire about KAP of dysphagia management in the elderly was used to investigate 782 geriatric nurses in 17 hospitals in Sichuan Province which includes tertiary and secondary ones. </w:t>
      </w:r>
      <w:r>
        <w:t xml:space="preserve"> Conclusion &amp; Significance: </w:t>
      </w:r>
      <w:r w:rsidR="00A51972" w:rsidRPr="00A51972">
        <w:t>The behavior and attitude of geriatric nurses towards the management of swallowing disorders in the elderly are acceptable, but the level of relevant professional knowledge needs to be improved. Managers should carry out targeted knowledge training to improve the management level of swallowing disorders and ensure the safety of elderly patients with dysphagia.</w:t>
      </w:r>
    </w:p>
    <w:p w:rsidR="00AE3E37" w:rsidRDefault="00A9710C">
      <w:pPr>
        <w:pStyle w:val="3"/>
        <w:spacing w:before="74"/>
      </w:pPr>
      <w:r>
        <w:rPr>
          <w:b w:val="0"/>
        </w:rPr>
        <w:br w:type="column"/>
      </w:r>
      <w:r>
        <w:rPr>
          <w:color w:val="BF5A14"/>
        </w:rPr>
        <w:t>Image</w:t>
      </w:r>
    </w:p>
    <w:p w:rsidR="00AE3E37" w:rsidRDefault="00A9710C">
      <w:pPr>
        <w:pStyle w:val="a3"/>
        <w:spacing w:before="2"/>
        <w:rPr>
          <w:rFonts w:ascii="Arial"/>
          <w:b/>
          <w:sz w:val="16"/>
        </w:rPr>
      </w:pPr>
      <w:r>
        <w:rPr>
          <w:noProof/>
          <w:lang w:eastAsia="zh-CN"/>
        </w:rPr>
        <w:drawing>
          <wp:anchor distT="0" distB="0" distL="0" distR="0" simplePos="0" relativeHeight="251658240" behindDoc="0" locked="0" layoutInCell="1" allowOverlap="1">
            <wp:simplePos x="0" y="0"/>
            <wp:positionH relativeFrom="page">
              <wp:posOffset>3907155</wp:posOffset>
            </wp:positionH>
            <wp:positionV relativeFrom="paragraph">
              <wp:posOffset>140335</wp:posOffset>
            </wp:positionV>
            <wp:extent cx="3157220" cy="1609725"/>
            <wp:effectExtent l="0" t="0" r="508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a:extLst>
                        <a:ext uri="{28A0092B-C50C-407E-A947-70E740481C1C}">
                          <a14:useLocalDpi xmlns:a14="http://schemas.microsoft.com/office/drawing/2010/main" val="0"/>
                        </a:ext>
                      </a:extLst>
                    </a:blip>
                    <a:stretch>
                      <a:fillRect/>
                    </a:stretch>
                  </pic:blipFill>
                  <pic:spPr>
                    <a:xfrm>
                      <a:off x="0" y="0"/>
                      <a:ext cx="3157220" cy="1609725"/>
                    </a:xfrm>
                    <a:prstGeom prst="rect">
                      <a:avLst/>
                    </a:prstGeom>
                  </pic:spPr>
                </pic:pic>
              </a:graphicData>
            </a:graphic>
            <wp14:sizeRelH relativeFrom="margin">
              <wp14:pctWidth>0</wp14:pctWidth>
            </wp14:sizeRelH>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CC1EE9" w:rsidRDefault="00CC1EE9" w:rsidP="005973B9">
      <w:pPr>
        <w:pStyle w:val="a4"/>
        <w:numPr>
          <w:ilvl w:val="0"/>
          <w:numId w:val="3"/>
        </w:numPr>
        <w:tabs>
          <w:tab w:val="left" w:pos="384"/>
        </w:tabs>
        <w:spacing w:line="216" w:lineRule="exact"/>
        <w:ind w:right="138" w:hanging="283"/>
        <w:rPr>
          <w:sz w:val="18"/>
        </w:rPr>
      </w:pPr>
      <w:r w:rsidRPr="00CC1EE9">
        <w:rPr>
          <w:rFonts w:hint="eastAsia"/>
          <w:sz w:val="18"/>
        </w:rPr>
        <w:t>Chang-</w:t>
      </w:r>
      <w:proofErr w:type="spellStart"/>
      <w:r w:rsidRPr="00CC1EE9">
        <w:rPr>
          <w:rFonts w:hint="eastAsia"/>
          <w:sz w:val="18"/>
        </w:rPr>
        <w:t>Quan</w:t>
      </w:r>
      <w:proofErr w:type="spellEnd"/>
      <w:r w:rsidRPr="00CC1EE9">
        <w:rPr>
          <w:rFonts w:hint="eastAsia"/>
          <w:sz w:val="18"/>
        </w:rPr>
        <w:t>, H</w:t>
      </w:r>
      <w:proofErr w:type="gramStart"/>
      <w:r w:rsidRPr="00CC1EE9">
        <w:rPr>
          <w:rFonts w:hint="eastAsia"/>
          <w:sz w:val="18"/>
        </w:rPr>
        <w:t>. ,</w:t>
      </w:r>
      <w:proofErr w:type="gramEnd"/>
      <w:r w:rsidRPr="00CC1EE9">
        <w:rPr>
          <w:rFonts w:hint="eastAsia"/>
          <w:sz w:val="18"/>
        </w:rPr>
        <w:t xml:space="preserve"> </w:t>
      </w:r>
      <w:proofErr w:type="spellStart"/>
      <w:r w:rsidRPr="00CC1EE9">
        <w:rPr>
          <w:rFonts w:hint="eastAsia"/>
          <w:sz w:val="18"/>
        </w:rPr>
        <w:t>Xue</w:t>
      </w:r>
      <w:proofErr w:type="spellEnd"/>
      <w:r w:rsidRPr="00CC1EE9">
        <w:rPr>
          <w:rFonts w:hint="eastAsia"/>
          <w:sz w:val="18"/>
        </w:rPr>
        <w:t>-Mei, Z. , Bi-</w:t>
      </w:r>
      <w:proofErr w:type="spellStart"/>
      <w:r w:rsidRPr="00CC1EE9">
        <w:rPr>
          <w:rFonts w:hint="eastAsia"/>
          <w:sz w:val="18"/>
        </w:rPr>
        <w:t>Rong</w:t>
      </w:r>
      <w:proofErr w:type="spellEnd"/>
      <w:r w:rsidRPr="00CC1EE9">
        <w:rPr>
          <w:rFonts w:hint="eastAsia"/>
          <w:sz w:val="18"/>
        </w:rPr>
        <w:t>, D. , Zhen-Chan, L. , Ji-</w:t>
      </w:r>
      <w:proofErr w:type="spellStart"/>
      <w:r w:rsidRPr="00CC1EE9">
        <w:rPr>
          <w:rFonts w:hint="eastAsia"/>
          <w:sz w:val="18"/>
        </w:rPr>
        <w:t>Rong</w:t>
      </w:r>
      <w:proofErr w:type="spellEnd"/>
      <w:r w:rsidRPr="00CC1EE9">
        <w:rPr>
          <w:rFonts w:hint="eastAsia"/>
          <w:sz w:val="18"/>
        </w:rPr>
        <w:t>, Y. , &amp; Qing-</w:t>
      </w:r>
      <w:proofErr w:type="spellStart"/>
      <w:r w:rsidRPr="00CC1EE9">
        <w:rPr>
          <w:rFonts w:hint="eastAsia"/>
          <w:sz w:val="18"/>
        </w:rPr>
        <w:t>Xiu</w:t>
      </w:r>
      <w:proofErr w:type="spellEnd"/>
      <w:r w:rsidRPr="00CC1EE9">
        <w:rPr>
          <w:rFonts w:hint="eastAsia"/>
          <w:sz w:val="18"/>
        </w:rPr>
        <w:t>, L. . (2010). Health status and risk for depression among the elderly: a meta-analysis of published literature. </w:t>
      </w:r>
      <w:r w:rsidRPr="00CC1EE9">
        <w:rPr>
          <w:rFonts w:hint="eastAsia"/>
          <w:i/>
          <w:iCs/>
          <w:sz w:val="18"/>
        </w:rPr>
        <w:t>Age and Ageing,</w:t>
      </w:r>
      <w:r w:rsidRPr="00CC1EE9">
        <w:rPr>
          <w:rFonts w:hint="eastAsia"/>
          <w:sz w:val="18"/>
        </w:rPr>
        <w:t> </w:t>
      </w:r>
      <w:r w:rsidRPr="00CC1EE9">
        <w:rPr>
          <w:rFonts w:hint="eastAsia"/>
          <w:i/>
          <w:iCs/>
          <w:sz w:val="18"/>
        </w:rPr>
        <w:t>39</w:t>
      </w:r>
      <w:r w:rsidRPr="00CC1EE9">
        <w:rPr>
          <w:rFonts w:hint="eastAsia"/>
          <w:sz w:val="18"/>
        </w:rPr>
        <w:t xml:space="preserve">(1), 23-30. </w:t>
      </w:r>
    </w:p>
    <w:p w:rsidR="00CC1EE9" w:rsidRDefault="00CC1EE9" w:rsidP="005973B9">
      <w:pPr>
        <w:pStyle w:val="a4"/>
        <w:numPr>
          <w:ilvl w:val="0"/>
          <w:numId w:val="3"/>
        </w:numPr>
        <w:tabs>
          <w:tab w:val="left" w:pos="384"/>
        </w:tabs>
        <w:spacing w:line="216" w:lineRule="exact"/>
        <w:ind w:right="138" w:hanging="283"/>
        <w:rPr>
          <w:sz w:val="18"/>
        </w:rPr>
      </w:pPr>
      <w:r w:rsidRPr="00CC1EE9">
        <w:rPr>
          <w:rFonts w:hint="eastAsia"/>
          <w:sz w:val="18"/>
        </w:rPr>
        <w:t>Yue, J</w:t>
      </w:r>
      <w:proofErr w:type="gramStart"/>
      <w:r w:rsidRPr="00CC1EE9">
        <w:rPr>
          <w:rFonts w:hint="eastAsia"/>
          <w:sz w:val="18"/>
        </w:rPr>
        <w:t>. ,</w:t>
      </w:r>
      <w:proofErr w:type="gramEnd"/>
      <w:r w:rsidRPr="00CC1EE9">
        <w:rPr>
          <w:rFonts w:hint="eastAsia"/>
          <w:sz w:val="18"/>
        </w:rPr>
        <w:t xml:space="preserve"> Zhang, X. , Dong, B. , &amp; Yang, M. . (2010). Statins and bone health in postmenopausal women: a systematic review of randomized controlled trials. </w:t>
      </w:r>
      <w:r w:rsidRPr="00CC1EE9">
        <w:rPr>
          <w:rFonts w:hint="eastAsia"/>
          <w:i/>
          <w:iCs/>
          <w:sz w:val="18"/>
        </w:rPr>
        <w:t>Menopause,</w:t>
      </w:r>
      <w:r w:rsidRPr="00CC1EE9">
        <w:rPr>
          <w:rFonts w:hint="eastAsia"/>
          <w:sz w:val="18"/>
        </w:rPr>
        <w:t> </w:t>
      </w:r>
      <w:r w:rsidRPr="00CC1EE9">
        <w:rPr>
          <w:rFonts w:hint="eastAsia"/>
          <w:i/>
          <w:iCs/>
          <w:sz w:val="18"/>
        </w:rPr>
        <w:t>17</w:t>
      </w:r>
      <w:r w:rsidRPr="00CC1EE9">
        <w:rPr>
          <w:rFonts w:hint="eastAsia"/>
          <w:sz w:val="18"/>
        </w:rPr>
        <w:t>(5), 1071-1079.</w:t>
      </w:r>
      <w:r w:rsidRPr="00CC1EE9">
        <w:rPr>
          <w:sz w:val="18"/>
        </w:rPr>
        <w:t xml:space="preserve"> </w:t>
      </w:r>
    </w:p>
    <w:p w:rsidR="00CC1EE9" w:rsidRDefault="00CC1EE9" w:rsidP="005973B9">
      <w:pPr>
        <w:pStyle w:val="a4"/>
        <w:numPr>
          <w:ilvl w:val="0"/>
          <w:numId w:val="3"/>
        </w:numPr>
        <w:tabs>
          <w:tab w:val="left" w:pos="384"/>
        </w:tabs>
        <w:spacing w:before="92" w:line="218" w:lineRule="exact"/>
        <w:ind w:hanging="283"/>
        <w:rPr>
          <w:sz w:val="18"/>
        </w:rPr>
      </w:pPr>
      <w:proofErr w:type="spellStart"/>
      <w:r w:rsidRPr="00CC1EE9">
        <w:rPr>
          <w:rFonts w:hint="eastAsia"/>
          <w:sz w:val="18"/>
        </w:rPr>
        <w:t>Xiu</w:t>
      </w:r>
      <w:proofErr w:type="spellEnd"/>
      <w:r w:rsidRPr="00CC1EE9">
        <w:rPr>
          <w:rFonts w:hint="eastAsia"/>
          <w:sz w:val="18"/>
        </w:rPr>
        <w:t>-Ying, H</w:t>
      </w:r>
      <w:proofErr w:type="gramStart"/>
      <w:r w:rsidRPr="00CC1EE9">
        <w:rPr>
          <w:rFonts w:hint="eastAsia"/>
          <w:sz w:val="18"/>
        </w:rPr>
        <w:t>. ,</w:t>
      </w:r>
      <w:proofErr w:type="gramEnd"/>
      <w:r w:rsidRPr="00CC1EE9">
        <w:rPr>
          <w:rFonts w:hint="eastAsia"/>
          <w:sz w:val="18"/>
        </w:rPr>
        <w:t xml:space="preserve"> Qian, C. , Xiao-Dong, P. , </w:t>
      </w:r>
      <w:proofErr w:type="spellStart"/>
      <w:r w:rsidRPr="00CC1EE9">
        <w:rPr>
          <w:rFonts w:hint="eastAsia"/>
          <w:sz w:val="18"/>
        </w:rPr>
        <w:t>Xue</w:t>
      </w:r>
      <w:proofErr w:type="spellEnd"/>
      <w:r w:rsidRPr="00CC1EE9">
        <w:rPr>
          <w:rFonts w:hint="eastAsia"/>
          <w:sz w:val="18"/>
        </w:rPr>
        <w:t>-Mei, Z. , &amp; Chang-</w:t>
      </w:r>
      <w:proofErr w:type="spellStart"/>
      <w:r w:rsidRPr="00CC1EE9">
        <w:rPr>
          <w:rFonts w:hint="eastAsia"/>
          <w:sz w:val="18"/>
        </w:rPr>
        <w:t>Quan</w:t>
      </w:r>
      <w:proofErr w:type="spellEnd"/>
      <w:r w:rsidRPr="00CC1EE9">
        <w:rPr>
          <w:rFonts w:hint="eastAsia"/>
          <w:sz w:val="18"/>
        </w:rPr>
        <w:t>, H. . (2012). Living arrangements and risk for late life depression: a meta-analysis of published literature. </w:t>
      </w:r>
      <w:r w:rsidRPr="00CC1EE9">
        <w:rPr>
          <w:rFonts w:hint="eastAsia"/>
          <w:i/>
          <w:iCs/>
          <w:sz w:val="18"/>
        </w:rPr>
        <w:t>The International Journal of Psychiatry in Medicine,</w:t>
      </w:r>
      <w:r w:rsidRPr="00CC1EE9">
        <w:rPr>
          <w:rFonts w:hint="eastAsia"/>
          <w:sz w:val="18"/>
        </w:rPr>
        <w:t> </w:t>
      </w:r>
      <w:r w:rsidRPr="00CC1EE9">
        <w:rPr>
          <w:rFonts w:hint="eastAsia"/>
          <w:i/>
          <w:iCs/>
          <w:sz w:val="18"/>
        </w:rPr>
        <w:t>43</w:t>
      </w:r>
      <w:r w:rsidRPr="00CC1EE9">
        <w:rPr>
          <w:rFonts w:hint="eastAsia"/>
          <w:sz w:val="18"/>
        </w:rPr>
        <w:t>(1), 19-34.</w:t>
      </w:r>
      <w:r w:rsidRPr="00CC1EE9">
        <w:rPr>
          <w:sz w:val="18"/>
        </w:rPr>
        <w:t xml:space="preserve"> </w:t>
      </w:r>
    </w:p>
    <w:p w:rsidR="00CC1EE9" w:rsidRPr="00CC1EE9" w:rsidRDefault="00CC1EE9" w:rsidP="00CC1EE9">
      <w:pPr>
        <w:pStyle w:val="a4"/>
        <w:numPr>
          <w:ilvl w:val="0"/>
          <w:numId w:val="3"/>
        </w:numPr>
        <w:tabs>
          <w:tab w:val="left" w:pos="384"/>
        </w:tabs>
        <w:spacing w:before="92" w:line="218" w:lineRule="exact"/>
        <w:ind w:hanging="283"/>
        <w:rPr>
          <w:sz w:val="18"/>
        </w:rPr>
      </w:pPr>
      <w:r w:rsidRPr="00CC1EE9">
        <w:rPr>
          <w:rFonts w:hint="eastAsia"/>
          <w:sz w:val="18"/>
        </w:rPr>
        <w:t>Chen, Q</w:t>
      </w:r>
      <w:proofErr w:type="gramStart"/>
      <w:r w:rsidRPr="00CC1EE9">
        <w:rPr>
          <w:rFonts w:hint="eastAsia"/>
          <w:sz w:val="18"/>
        </w:rPr>
        <w:t>. ,</w:t>
      </w:r>
      <w:proofErr w:type="gramEnd"/>
      <w:r w:rsidRPr="00CC1EE9">
        <w:rPr>
          <w:rFonts w:hint="eastAsia"/>
          <w:sz w:val="18"/>
        </w:rPr>
        <w:t xml:space="preserve"> Huang, C. Q. , Hu, X. Y. , Li, S. B. , &amp; Zhang, X. M. . (2013). Functional clock gene rs1554483 g/c polymorphism is associated with susceptibility to </w:t>
      </w:r>
      <w:proofErr w:type="spellStart"/>
      <w:r w:rsidRPr="00CC1EE9">
        <w:rPr>
          <w:rFonts w:hint="eastAsia"/>
          <w:sz w:val="18"/>
        </w:rPr>
        <w:t>alzheimer</w:t>
      </w:r>
      <w:proofErr w:type="spellEnd"/>
      <w:r w:rsidRPr="00CC1EE9">
        <w:rPr>
          <w:rFonts w:hint="eastAsia"/>
          <w:sz w:val="18"/>
        </w:rPr>
        <w:t xml:space="preserve">\"s disease in the </w:t>
      </w:r>
      <w:proofErr w:type="spellStart"/>
      <w:r w:rsidRPr="00CC1EE9">
        <w:rPr>
          <w:rFonts w:hint="eastAsia"/>
          <w:sz w:val="18"/>
        </w:rPr>
        <w:t>chinese</w:t>
      </w:r>
      <w:proofErr w:type="spellEnd"/>
      <w:r w:rsidRPr="00CC1EE9">
        <w:rPr>
          <w:rFonts w:hint="eastAsia"/>
          <w:sz w:val="18"/>
        </w:rPr>
        <w:t xml:space="preserve"> population. Journal of International Medical Research, 41(2), 340-346.</w:t>
      </w:r>
      <w:r w:rsidRPr="00CC1EE9">
        <w:rPr>
          <w:sz w:val="18"/>
        </w:rPr>
        <w:t xml:space="preserve"> </w:t>
      </w:r>
    </w:p>
    <w:p w:rsidR="00AE3E37" w:rsidRPr="008756E6" w:rsidRDefault="005973B9" w:rsidP="00C33106">
      <w:pPr>
        <w:pStyle w:val="a3"/>
        <w:spacing w:before="85" w:line="216" w:lineRule="exact"/>
        <w:ind w:left="383" w:right="138" w:hanging="284"/>
        <w:jc w:val="both"/>
      </w:pPr>
      <w:r>
        <w:rPr>
          <w:rFonts w:ascii="Calibri" w:hAnsi="Calibri"/>
        </w:rPr>
        <w:t xml:space="preserve">5. </w:t>
      </w:r>
      <w:r w:rsidR="00C33106" w:rsidRPr="00C33106">
        <w:rPr>
          <w:rFonts w:ascii="Calibri" w:hAnsi="Calibri" w:hint="eastAsia"/>
        </w:rPr>
        <w:t>W.-T., Z</w:t>
      </w:r>
      <w:proofErr w:type="gramStart"/>
      <w:r w:rsidR="00C33106" w:rsidRPr="00C33106">
        <w:rPr>
          <w:rFonts w:ascii="Calibri" w:hAnsi="Calibri" w:hint="eastAsia"/>
        </w:rPr>
        <w:t>. ,</w:t>
      </w:r>
      <w:proofErr w:type="gramEnd"/>
      <w:r w:rsidR="00C33106" w:rsidRPr="00C33106">
        <w:rPr>
          <w:rFonts w:ascii="Calibri" w:hAnsi="Calibri" w:hint="eastAsia"/>
        </w:rPr>
        <w:t xml:space="preserve"> Yang, M. , H.-M., W. , Yang, L. , </w:t>
      </w:r>
      <w:proofErr w:type="spellStart"/>
      <w:r w:rsidR="00C33106" w:rsidRPr="00C33106">
        <w:rPr>
          <w:rFonts w:ascii="Calibri" w:hAnsi="Calibri" w:hint="eastAsia"/>
        </w:rPr>
        <w:t>Xue</w:t>
      </w:r>
      <w:proofErr w:type="spellEnd"/>
      <w:r w:rsidR="00C33106" w:rsidRPr="00C33106">
        <w:rPr>
          <w:rFonts w:ascii="Calibri" w:hAnsi="Calibri" w:hint="eastAsia"/>
        </w:rPr>
        <w:t>-Mei, Z. , &amp; Huang, Y. . (2018). Systematic review and meta-analysis of the association between sarcopenia and dysphagia. </w:t>
      </w:r>
      <w:r w:rsidR="00C33106" w:rsidRPr="00C33106">
        <w:rPr>
          <w:rFonts w:ascii="Calibri" w:hAnsi="Calibri" w:hint="eastAsia"/>
          <w:i/>
          <w:iCs/>
        </w:rPr>
        <w:t>The journal of nutrition, health &amp; aging</w:t>
      </w:r>
      <w:r w:rsidR="00C33106" w:rsidRPr="00C33106">
        <w:rPr>
          <w:rFonts w:ascii="Calibri" w:hAnsi="Calibri" w:hint="eastAsia"/>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0772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458383"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58383"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624AF">
      <w:pPr>
        <w:spacing w:before="41" w:line="154" w:lineRule="exact"/>
        <w:ind w:left="213" w:right="231"/>
        <w:jc w:val="both"/>
        <w:rPr>
          <w:rFonts w:ascii="Arial"/>
          <w:sz w:val="14"/>
        </w:rPr>
      </w:pPr>
      <w:proofErr w:type="spellStart"/>
      <w:r>
        <w:rPr>
          <w:rFonts w:ascii="Arial"/>
          <w:sz w:val="14"/>
        </w:rPr>
        <w:t>JingYi</w:t>
      </w:r>
      <w:proofErr w:type="spellEnd"/>
      <w:r>
        <w:rPr>
          <w:rFonts w:ascii="Arial"/>
          <w:sz w:val="14"/>
        </w:rPr>
        <w:t xml:space="preserve"> Wei received her bachelor</w:t>
      </w:r>
      <w:r>
        <w:rPr>
          <w:rFonts w:ascii="Arial"/>
          <w:sz w:val="14"/>
        </w:rPr>
        <w:t>’</w:t>
      </w:r>
      <w:r>
        <w:rPr>
          <w:rFonts w:ascii="Arial"/>
          <w:sz w:val="14"/>
        </w:rPr>
        <w:t>s degree and education at the age of 22 and is currently studying for master</w:t>
      </w:r>
      <w:r>
        <w:rPr>
          <w:rFonts w:ascii="Arial"/>
          <w:sz w:val="14"/>
        </w:rPr>
        <w:t>’</w:t>
      </w:r>
      <w:r>
        <w:rPr>
          <w:rFonts w:ascii="Arial"/>
          <w:sz w:val="14"/>
        </w:rPr>
        <w:t>s degree.</w:t>
      </w:r>
    </w:p>
    <w:p w:rsidR="00AE3E37" w:rsidRDefault="00A9710C">
      <w:pPr>
        <w:spacing w:before="62"/>
        <w:ind w:left="4217" w:right="4235"/>
        <w:jc w:val="center"/>
        <w:rPr>
          <w:rFonts w:ascii="Arial"/>
          <w:sz w:val="14"/>
        </w:rPr>
      </w:pPr>
      <w:r>
        <w:rPr>
          <w:rFonts w:ascii="Arial"/>
          <w:sz w:val="14"/>
        </w:rPr>
        <w:t xml:space="preserve">Email: </w:t>
      </w:r>
      <w:hyperlink r:id="rId12" w:history="1">
        <w:r w:rsidR="00956578" w:rsidRPr="00A36839">
          <w:rPr>
            <w:rStyle w:val="a8"/>
            <w:rFonts w:ascii="Arial"/>
            <w:sz w:val="14"/>
          </w:rPr>
          <w:t>1165519564@qq.com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9BF4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2323B3" w:rsidRDefault="00A9710C" w:rsidP="007B5AD0">
      <w:pPr>
        <w:spacing w:before="39"/>
        <w:rPr>
          <w:rFonts w:ascii="Minion Pro"/>
          <w:b/>
          <w:sz w:val="20"/>
        </w:rPr>
        <w:sectPr w:rsidR="00AE3E37" w:rsidRPr="002323B3">
          <w:type w:val="continuous"/>
          <w:pgSz w:w="11910" w:h="16840"/>
          <w:pgMar w:top="1740" w:right="600" w:bottom="840" w:left="620" w:header="720" w:footer="720" w:gutter="0"/>
          <w:cols w:space="720"/>
        </w:sectPr>
      </w:pPr>
      <w:bookmarkStart w:id="0" w:name="_GoBack"/>
      <w:bookmarkEnd w:id="0"/>
      <w:r w:rsidRPr="00B21A57">
        <w:rPr>
          <w:rFonts w:ascii="Minion Pro"/>
          <w:b/>
          <w:sz w:val="20"/>
        </w:rPr>
        <w:t>Notes/Comments:</w:t>
      </w:r>
      <w:r w:rsidR="002323B3">
        <w:rPr>
          <w:rFonts w:ascii="Minion Pro"/>
          <w:b/>
          <w:sz w:val="20"/>
        </w:rPr>
        <w:t xml:space="preserve"> </w:t>
      </w:r>
      <w:r w:rsidR="002323B3" w:rsidRPr="002323B3">
        <w:rPr>
          <w:rFonts w:ascii="Times New Roman" w:hAnsi="Times New Roman" w:cs="Times New Roman"/>
          <w:sz w:val="18"/>
          <w:szCs w:val="18"/>
        </w:rPr>
        <w:t>No additional content for now</w:t>
      </w:r>
    </w:p>
    <w:p w:rsidR="00AE3E37" w:rsidRPr="002323B3" w:rsidRDefault="002323B3">
      <w:pPr>
        <w:pStyle w:val="a3"/>
        <w:spacing w:before="3"/>
        <w:rPr>
          <w:rFonts w:ascii="Minion Pro" w:eastAsiaTheme="minorEastAsia" w:hint="eastAsia"/>
          <w:sz w:val="26"/>
          <w:lang w:eastAsia="zh-CN"/>
        </w:rPr>
      </w:pPr>
      <w:r>
        <w:rPr>
          <w:rFonts w:ascii="Minion Pro" w:eastAsiaTheme="minorEastAsia" w:hint="eastAsia"/>
          <w:sz w:val="26"/>
          <w:lang w:eastAsia="zh-CN"/>
        </w:rPr>
        <w:t xml:space="preserve"> </w:t>
      </w:r>
    </w:p>
    <w:sectPr w:rsidR="00AE3E37" w:rsidRPr="002323B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804" w:rsidRDefault="00B42804">
      <w:r>
        <w:separator/>
      </w:r>
    </w:p>
  </w:endnote>
  <w:endnote w:type="continuationSeparator" w:id="0">
    <w:p w:rsidR="00B42804" w:rsidRDefault="00B42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804" w:rsidRDefault="00B42804">
      <w:r>
        <w:separator/>
      </w:r>
    </w:p>
  </w:footnote>
  <w:footnote w:type="continuationSeparator" w:id="0">
    <w:p w:rsidR="00B42804" w:rsidRDefault="00B42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6AD8"/>
    <w:rsid w:val="000E2911"/>
    <w:rsid w:val="00102735"/>
    <w:rsid w:val="001263DF"/>
    <w:rsid w:val="001E763C"/>
    <w:rsid w:val="002323B3"/>
    <w:rsid w:val="00292ED9"/>
    <w:rsid w:val="00314AFB"/>
    <w:rsid w:val="003B76D9"/>
    <w:rsid w:val="00404E5B"/>
    <w:rsid w:val="00414F7B"/>
    <w:rsid w:val="004355DC"/>
    <w:rsid w:val="004624AF"/>
    <w:rsid w:val="004749B4"/>
    <w:rsid w:val="00494130"/>
    <w:rsid w:val="004F3523"/>
    <w:rsid w:val="005973B9"/>
    <w:rsid w:val="005B3A56"/>
    <w:rsid w:val="006060CE"/>
    <w:rsid w:val="0063497F"/>
    <w:rsid w:val="0078738A"/>
    <w:rsid w:val="007B5AD0"/>
    <w:rsid w:val="00873DF0"/>
    <w:rsid w:val="008756E6"/>
    <w:rsid w:val="00877B38"/>
    <w:rsid w:val="00956578"/>
    <w:rsid w:val="009B2D44"/>
    <w:rsid w:val="00A07E82"/>
    <w:rsid w:val="00A51972"/>
    <w:rsid w:val="00A9710C"/>
    <w:rsid w:val="00AD5408"/>
    <w:rsid w:val="00AE3E37"/>
    <w:rsid w:val="00B21A57"/>
    <w:rsid w:val="00B34C78"/>
    <w:rsid w:val="00B42804"/>
    <w:rsid w:val="00BC1B27"/>
    <w:rsid w:val="00C33106"/>
    <w:rsid w:val="00C33602"/>
    <w:rsid w:val="00CC1EE9"/>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7808F6-C70D-4EAC-9915-334C9274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1165519564@qq.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150DA-CE4E-4367-A8CD-31748FAC7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1165519564@qq.com</cp:lastModifiedBy>
  <cp:revision>25</cp:revision>
  <dcterms:created xsi:type="dcterms:W3CDTF">2016-08-31T13:10:00Z</dcterms:created>
  <dcterms:modified xsi:type="dcterms:W3CDTF">2020-01-22T07:21:00Z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