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901" w:rsidRDefault="00812901" w:rsidP="00812901">
      <w:pPr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Factors influencing the use of c</w:t>
      </w:r>
      <w:r w:rsidRPr="00A87AE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ontraceptive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Pr="009F3C1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through the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lens</w:t>
      </w:r>
      <w:r w:rsidRPr="009F3C1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of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</w:t>
      </w:r>
      <w:r w:rsidRPr="009F3C1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eenage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w</w:t>
      </w:r>
      <w:r w:rsidRPr="009F3C1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omen: A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q</w:t>
      </w:r>
      <w:r w:rsidRPr="009F3C1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ualitative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Pr="009F3C1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tudy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in Iran</w:t>
      </w:r>
    </w:p>
    <w:p w:rsidR="00812901" w:rsidRPr="00C306F5" w:rsidRDefault="00812901" w:rsidP="00812901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C306F5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812901" w:rsidRPr="0061647E" w:rsidRDefault="00812901" w:rsidP="00812901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306F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Background: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ne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out of 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seven teenage girls in developing countries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marries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before the age of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fifteen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While the f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>ertility rate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teenage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girls is 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>high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the rate of 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>contraceptive us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e remains</w:t>
      </w:r>
      <w:r w:rsidRPr="009F3C1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low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therefore, this group of teenagers needs reproductive healthcare. This study was undertaken to explore </w:t>
      </w:r>
      <w:r w:rsidRPr="0061647E">
        <w:rPr>
          <w:rFonts w:asciiTheme="majorBidi" w:hAnsiTheme="majorBidi" w:cstheme="majorBidi"/>
          <w:sz w:val="24"/>
          <w:szCs w:val="24"/>
        </w:rPr>
        <w:t xml:space="preserve">factors influencing the use of contraceptives from the perspective of teenage women </w:t>
      </w:r>
      <w:r w:rsidRPr="0061647E">
        <w:rPr>
          <w:rFonts w:asciiTheme="majorBidi" w:hAnsiTheme="majorBidi" w:cstheme="majorBidi"/>
          <w:sz w:val="24"/>
          <w:szCs w:val="24"/>
          <w:lang w:bidi="ar-SA"/>
        </w:rPr>
        <w:t xml:space="preserve">living in 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the city of </w:t>
      </w:r>
      <w:r w:rsidRPr="0061647E">
        <w:rPr>
          <w:rFonts w:asciiTheme="majorBidi" w:hAnsiTheme="majorBidi" w:cstheme="majorBidi"/>
          <w:sz w:val="24"/>
          <w:szCs w:val="24"/>
          <w:lang w:bidi="ar-SA"/>
        </w:rPr>
        <w:t xml:space="preserve">Ardabil </w:t>
      </w:r>
      <w:r>
        <w:rPr>
          <w:rFonts w:asciiTheme="majorBidi" w:hAnsiTheme="majorBidi" w:cstheme="majorBidi"/>
          <w:sz w:val="24"/>
          <w:szCs w:val="24"/>
          <w:lang w:bidi="ar-SA"/>
        </w:rPr>
        <w:t>in</w:t>
      </w:r>
      <w:r w:rsidRPr="0061647E">
        <w:rPr>
          <w:rFonts w:asciiTheme="majorBidi" w:hAnsiTheme="majorBidi" w:cstheme="majorBidi"/>
          <w:sz w:val="24"/>
          <w:szCs w:val="24"/>
        </w:rPr>
        <w:t xml:space="preserve"> Iran.</w:t>
      </w:r>
    </w:p>
    <w:p w:rsidR="00812901" w:rsidRPr="0061647E" w:rsidRDefault="00812901" w:rsidP="00812901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647E">
        <w:rPr>
          <w:rFonts w:asciiTheme="majorBidi" w:hAnsiTheme="majorBidi" w:cstheme="majorBidi"/>
          <w:b/>
          <w:bCs/>
          <w:sz w:val="24"/>
          <w:szCs w:val="24"/>
        </w:rPr>
        <w:t xml:space="preserve">Material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and </w:t>
      </w:r>
      <w:r w:rsidRPr="0061647E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61647E">
        <w:rPr>
          <w:rFonts w:asciiTheme="majorBidi" w:hAnsiTheme="majorBidi" w:cstheme="majorBidi"/>
          <w:sz w:val="24"/>
          <w:szCs w:val="24"/>
        </w:rPr>
        <w:t xml:space="preserve"> This qualitative study was conducted with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1647E">
        <w:rPr>
          <w:rFonts w:asciiTheme="majorBidi" w:hAnsiTheme="majorBidi" w:cstheme="majorBidi"/>
          <w:sz w:val="24"/>
          <w:szCs w:val="24"/>
        </w:rPr>
        <w:t xml:space="preserve">14 married women aged 13-19 years </w:t>
      </w:r>
      <w:r>
        <w:rPr>
          <w:rFonts w:asciiTheme="majorBidi" w:hAnsiTheme="majorBidi" w:cstheme="majorBidi"/>
          <w:sz w:val="24"/>
          <w:szCs w:val="24"/>
        </w:rPr>
        <w:t xml:space="preserve">who attended in </w:t>
      </w:r>
      <w:r w:rsidRPr="0061647E">
        <w:rPr>
          <w:rFonts w:asciiTheme="majorBidi" w:hAnsiTheme="majorBidi" w:cstheme="majorBidi"/>
          <w:sz w:val="24"/>
          <w:szCs w:val="24"/>
        </w:rPr>
        <w:t xml:space="preserve">urban-rural healthcare centers in Ardabil. </w:t>
      </w:r>
      <w:r>
        <w:rPr>
          <w:rFonts w:asciiTheme="majorBidi" w:hAnsiTheme="majorBidi" w:cstheme="majorBidi"/>
          <w:sz w:val="24"/>
          <w:szCs w:val="24"/>
        </w:rPr>
        <w:t>E</w:t>
      </w:r>
      <w:r w:rsidRPr="0061647E">
        <w:rPr>
          <w:rFonts w:asciiTheme="majorBidi" w:hAnsiTheme="majorBidi" w:cstheme="majorBidi"/>
          <w:sz w:val="24"/>
          <w:szCs w:val="24"/>
        </w:rPr>
        <w:t xml:space="preserve">ligible women were recruited using purposive sampling and were invited to take part in individual in-depth semi-structured interviews. The duration of the interviews varied from 45 to 90 minutes with an average of 55 minutes. </w:t>
      </w:r>
      <w:r>
        <w:rPr>
          <w:rFonts w:asciiTheme="majorBidi" w:hAnsiTheme="majorBidi" w:cstheme="majorBidi"/>
          <w:sz w:val="24"/>
          <w:szCs w:val="24"/>
        </w:rPr>
        <w:t>S</w:t>
      </w:r>
      <w:r w:rsidRPr="0061647E">
        <w:rPr>
          <w:rFonts w:asciiTheme="majorBidi" w:hAnsiTheme="majorBidi" w:cstheme="majorBidi"/>
          <w:sz w:val="24"/>
          <w:szCs w:val="24"/>
        </w:rPr>
        <w:t>ampling continued until data saturation was reached and no new data was collected. Each interview was tape-recorded after obtaining the participant</w:t>
      </w:r>
      <w:r>
        <w:rPr>
          <w:rFonts w:asciiTheme="majorBidi" w:hAnsiTheme="majorBidi" w:cstheme="majorBidi"/>
          <w:sz w:val="24"/>
          <w:szCs w:val="24"/>
        </w:rPr>
        <w:t>’s</w:t>
      </w:r>
      <w:r w:rsidRPr="0061647E">
        <w:rPr>
          <w:rFonts w:asciiTheme="majorBidi" w:hAnsiTheme="majorBidi" w:cstheme="majorBidi"/>
          <w:sz w:val="24"/>
          <w:szCs w:val="24"/>
        </w:rPr>
        <w:t xml:space="preserve"> permission, transcribed verbatim and analyzed for identifying categories and themes using conventional content analysis.</w:t>
      </w:r>
    </w:p>
    <w:p w:rsidR="00812901" w:rsidRPr="0061647E" w:rsidRDefault="00812901" w:rsidP="00812901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647E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61647E">
        <w:rPr>
          <w:rFonts w:asciiTheme="majorBidi" w:hAnsiTheme="majorBidi" w:cstheme="majorBidi"/>
          <w:sz w:val="24"/>
          <w:szCs w:val="24"/>
        </w:rPr>
        <w:t xml:space="preserve"> Three themes and eight subthemes were developed. The themes were as follow</w:t>
      </w:r>
      <w:r>
        <w:rPr>
          <w:rFonts w:asciiTheme="majorBidi" w:hAnsiTheme="majorBidi" w:cstheme="majorBidi"/>
          <w:sz w:val="24"/>
          <w:szCs w:val="24"/>
        </w:rPr>
        <w:t>s</w:t>
      </w:r>
      <w:r w:rsidRPr="0061647E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“</w:t>
      </w:r>
      <w:r w:rsidRPr="0061647E">
        <w:rPr>
          <w:rFonts w:asciiTheme="majorBidi" w:hAnsiTheme="majorBidi" w:cstheme="majorBidi"/>
          <w:sz w:val="24"/>
          <w:szCs w:val="24"/>
        </w:rPr>
        <w:t>insufficient familiarity with contraceptive methods</w:t>
      </w:r>
      <w:r>
        <w:rPr>
          <w:rFonts w:asciiTheme="majorBidi" w:hAnsiTheme="majorBidi" w:cstheme="majorBidi"/>
          <w:sz w:val="24"/>
          <w:szCs w:val="24"/>
        </w:rPr>
        <w:t>”</w:t>
      </w:r>
      <w:r w:rsidRPr="0061647E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“p</w:t>
      </w:r>
      <w:r w:rsidRPr="0061647E">
        <w:rPr>
          <w:rFonts w:asciiTheme="majorBidi" w:hAnsiTheme="majorBidi" w:cstheme="majorBidi"/>
          <w:sz w:val="24"/>
          <w:szCs w:val="24"/>
        </w:rPr>
        <w:t>ressure to become pregnant</w:t>
      </w:r>
      <w:r>
        <w:rPr>
          <w:rFonts w:asciiTheme="majorBidi" w:hAnsiTheme="majorBidi" w:cstheme="majorBidi"/>
          <w:sz w:val="24"/>
          <w:szCs w:val="24"/>
        </w:rPr>
        <w:t>”</w:t>
      </w:r>
      <w:r w:rsidRPr="0061647E">
        <w:rPr>
          <w:rFonts w:asciiTheme="majorBidi" w:hAnsiTheme="majorBidi" w:cstheme="majorBidi"/>
          <w:sz w:val="24"/>
          <w:szCs w:val="24"/>
        </w:rPr>
        <w:t xml:space="preserve"> and </w:t>
      </w:r>
      <w:r w:rsidRPr="00F67A5C">
        <w:rPr>
          <w:rFonts w:asciiTheme="majorBidi" w:hAnsiTheme="majorBidi" w:cstheme="majorBidi"/>
          <w:sz w:val="24"/>
          <w:szCs w:val="24"/>
        </w:rPr>
        <w:t>“misconceptions”.</w:t>
      </w:r>
    </w:p>
    <w:p w:rsidR="00812901" w:rsidRPr="0061647E" w:rsidRDefault="00812901" w:rsidP="00812901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647E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>
        <w:rPr>
          <w:rFonts w:asciiTheme="majorBidi" w:hAnsiTheme="majorBidi" w:cstheme="majorBidi"/>
          <w:sz w:val="24"/>
          <w:szCs w:val="24"/>
        </w:rPr>
        <w:t>De</w:t>
      </w:r>
      <w:r w:rsidRPr="0061647E">
        <w:rPr>
          <w:rFonts w:asciiTheme="majorBidi" w:hAnsiTheme="majorBidi" w:cstheme="majorBidi"/>
          <w:sz w:val="24"/>
          <w:szCs w:val="24"/>
        </w:rPr>
        <w:t xml:space="preserve">spite the high prevalence of early marriage in Iranian society, teenage women </w:t>
      </w:r>
      <w:r>
        <w:rPr>
          <w:rFonts w:asciiTheme="majorBidi" w:hAnsiTheme="majorBidi" w:cstheme="majorBidi"/>
          <w:sz w:val="24"/>
          <w:szCs w:val="24"/>
        </w:rPr>
        <w:t>are</w:t>
      </w:r>
      <w:r w:rsidRPr="0061647E">
        <w:rPr>
          <w:rFonts w:asciiTheme="majorBidi" w:hAnsiTheme="majorBidi" w:cstheme="majorBidi"/>
          <w:sz w:val="24"/>
          <w:szCs w:val="24"/>
        </w:rPr>
        <w:t xml:space="preserve"> not empowered </w:t>
      </w:r>
      <w:r>
        <w:rPr>
          <w:rFonts w:asciiTheme="majorBidi" w:hAnsiTheme="majorBidi" w:cstheme="majorBidi"/>
          <w:sz w:val="24"/>
          <w:szCs w:val="24"/>
        </w:rPr>
        <w:t>or</w:t>
      </w:r>
      <w:r w:rsidRPr="0061647E">
        <w:rPr>
          <w:rFonts w:asciiTheme="majorBidi" w:hAnsiTheme="majorBidi" w:cstheme="majorBidi"/>
          <w:sz w:val="24"/>
          <w:szCs w:val="24"/>
        </w:rPr>
        <w:t xml:space="preserve"> prepared for marriage and birth control. Sexual and reproductive healthcare services to teenage women should be improved </w:t>
      </w:r>
      <w:r>
        <w:rPr>
          <w:rFonts w:asciiTheme="majorBidi" w:hAnsiTheme="majorBidi" w:cstheme="majorBidi"/>
          <w:sz w:val="24"/>
          <w:szCs w:val="24"/>
        </w:rPr>
        <w:t>to</w:t>
      </w:r>
      <w:r w:rsidRPr="0061647E">
        <w:rPr>
          <w:rFonts w:asciiTheme="majorBidi" w:hAnsiTheme="majorBidi" w:cstheme="majorBidi"/>
          <w:sz w:val="24"/>
          <w:szCs w:val="24"/>
        </w:rPr>
        <w:t xml:space="preserve"> meet their needs.</w:t>
      </w:r>
    </w:p>
    <w:p w:rsidR="00812901" w:rsidRPr="0061647E" w:rsidRDefault="00812901" w:rsidP="00812901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1647E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61647E">
        <w:rPr>
          <w:rFonts w:asciiTheme="majorBidi" w:hAnsiTheme="majorBidi" w:cstheme="majorBidi"/>
          <w:sz w:val="24"/>
          <w:szCs w:val="24"/>
        </w:rPr>
        <w:t xml:space="preserve"> Contraceptives, Teenage women, Qualitative study</w:t>
      </w:r>
    </w:p>
    <w:p w:rsidR="009A54E2" w:rsidRDefault="009A54E2">
      <w:pPr>
        <w:rPr>
          <w:rFonts w:hint="cs"/>
        </w:rPr>
      </w:pPr>
      <w:bookmarkStart w:id="0" w:name="_GoBack"/>
      <w:bookmarkEnd w:id="0"/>
    </w:p>
    <w:sectPr w:rsidR="009A54E2" w:rsidSect="00FD7325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901"/>
    <w:rsid w:val="00812901"/>
    <w:rsid w:val="009A54E2"/>
    <w:rsid w:val="00FD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BADC3D-AD08-4CB7-A5C4-DB357A15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2901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2017-07-23T04:53:00Z</dcterms:created>
  <dcterms:modified xsi:type="dcterms:W3CDTF">2017-07-23T04:54:00Z</dcterms:modified>
</cp:coreProperties>
</file>