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C8D" w:rsidRDefault="008E7C8D" w:rsidP="008E7C8D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A526D1">
        <w:rPr>
          <w:rFonts w:ascii="Arial" w:hAnsi="Arial" w:cs="Arial"/>
          <w:b/>
          <w:sz w:val="24"/>
          <w:szCs w:val="24"/>
        </w:rPr>
        <w:t xml:space="preserve">redictors of anemia among adult HIV patients on first-line antiretroviral therapy </w:t>
      </w:r>
      <w:r>
        <w:rPr>
          <w:rFonts w:ascii="Arial" w:hAnsi="Arial" w:cs="Arial"/>
          <w:b/>
          <w:sz w:val="24"/>
          <w:szCs w:val="24"/>
        </w:rPr>
        <w:t xml:space="preserve">in northwest Ethiopia:  a </w:t>
      </w:r>
      <w:r w:rsidRPr="00A526D1">
        <w:rPr>
          <w:rFonts w:ascii="Arial" w:hAnsi="Arial" w:cs="Arial"/>
          <w:b/>
          <w:sz w:val="24"/>
          <w:szCs w:val="24"/>
        </w:rPr>
        <w:t>retrospective follow</w:t>
      </w:r>
      <w:r>
        <w:rPr>
          <w:rFonts w:ascii="Arial" w:hAnsi="Arial" w:cs="Arial"/>
          <w:b/>
          <w:sz w:val="24"/>
          <w:szCs w:val="24"/>
        </w:rPr>
        <w:t xml:space="preserve"> up</w:t>
      </w:r>
      <w:r w:rsidRPr="00A526D1">
        <w:rPr>
          <w:rFonts w:ascii="Arial" w:hAnsi="Arial" w:cs="Arial"/>
          <w:b/>
          <w:sz w:val="24"/>
          <w:szCs w:val="24"/>
        </w:rPr>
        <w:t xml:space="preserve"> study</w:t>
      </w:r>
    </w:p>
    <w:p w:rsidR="008E7C8D" w:rsidRPr="00A526D1" w:rsidRDefault="008E7C8D" w:rsidP="008E7C8D">
      <w:pPr>
        <w:spacing w:line="48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A526D1">
        <w:rPr>
          <w:rFonts w:ascii="Arial" w:hAnsi="Arial" w:cs="Arial"/>
          <w:sz w:val="24"/>
          <w:szCs w:val="24"/>
        </w:rPr>
        <w:t>Chilot Desta Agegnehu</w:t>
      </w:r>
      <w:r>
        <w:rPr>
          <w:rFonts w:ascii="Arial" w:hAnsi="Arial" w:cs="Arial"/>
          <w:sz w:val="24"/>
          <w:szCs w:val="24"/>
        </w:rPr>
        <w:t>*</w:t>
      </w:r>
      <w:r w:rsidRPr="00A526D1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, Mehari </w:t>
      </w:r>
      <w:r w:rsidRPr="00A526D1">
        <w:rPr>
          <w:rFonts w:ascii="Arial" w:hAnsi="Arial" w:cs="Arial"/>
          <w:sz w:val="24"/>
          <w:szCs w:val="24"/>
        </w:rPr>
        <w:t xml:space="preserve"> Woldemariam Merid</w:t>
      </w:r>
      <w:r w:rsidRPr="00A526D1">
        <w:rPr>
          <w:rFonts w:ascii="Arial" w:hAnsi="Arial" w:cs="Arial"/>
          <w:sz w:val="24"/>
          <w:szCs w:val="24"/>
          <w:vertAlign w:val="superscript"/>
        </w:rPr>
        <w:t>2</w:t>
      </w:r>
      <w:r w:rsidRPr="00A526D1">
        <w:rPr>
          <w:rFonts w:ascii="Arial" w:hAnsi="Arial" w:cs="Arial"/>
          <w:sz w:val="24"/>
          <w:szCs w:val="24"/>
        </w:rPr>
        <w:t>, Melaku Kindie Yenit</w:t>
      </w:r>
      <w:r>
        <w:rPr>
          <w:rFonts w:ascii="Arial" w:hAnsi="Arial" w:cs="Arial"/>
          <w:sz w:val="24"/>
          <w:szCs w:val="24"/>
          <w:vertAlign w:val="superscript"/>
        </w:rPr>
        <w:t>2</w:t>
      </w:r>
    </w:p>
    <w:p w:rsidR="008E7C8D" w:rsidRPr="00A526D1" w:rsidRDefault="008E7C8D" w:rsidP="008E7C8D">
      <w:pPr>
        <w:spacing w:line="48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8E7C8D" w:rsidRPr="00A526D1" w:rsidRDefault="008E7C8D" w:rsidP="008E7C8D">
      <w:pPr>
        <w:spacing w:line="48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526D1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1</w:t>
      </w:r>
      <w:r w:rsidRPr="00A526D1">
        <w:rPr>
          <w:rFonts w:ascii="Arial" w:hAnsi="Arial" w:cs="Arial"/>
          <w:sz w:val="24"/>
          <w:szCs w:val="24"/>
          <w:shd w:val="clear" w:color="auto" w:fill="FFFFFF"/>
        </w:rPr>
        <w:t>School of Nursing, College of Medicine and Health Sciences and Comprehensive Specialized Hospital, University of Gondar, Gondar, Ethiopia</w:t>
      </w:r>
    </w:p>
    <w:p w:rsidR="008E7C8D" w:rsidRPr="00A526D1" w:rsidRDefault="008E7C8D" w:rsidP="008E7C8D">
      <w:pPr>
        <w:spacing w:line="48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26D1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2</w:t>
      </w:r>
      <w:r w:rsidRPr="00A526D1">
        <w:rPr>
          <w:rFonts w:ascii="Arial" w:hAnsi="Arial" w:cs="Arial"/>
          <w:sz w:val="24"/>
          <w:szCs w:val="24"/>
          <w:shd w:val="clear" w:color="auto" w:fill="FFFFFF"/>
        </w:rPr>
        <w:t>Department of Epidemiology and Biostatistics, Institute of Public Health, College of Medicine and Health Sciences, University of Gondar, Gondar, Ethiopia</w:t>
      </w:r>
    </w:p>
    <w:p w:rsidR="008E7C8D" w:rsidRPr="00A526D1" w:rsidRDefault="008E7C8D" w:rsidP="008E7C8D">
      <w:pPr>
        <w:spacing w:line="48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E7C8D" w:rsidRPr="00A526D1" w:rsidRDefault="008E7C8D" w:rsidP="008E7C8D">
      <w:pPr>
        <w:tabs>
          <w:tab w:val="left" w:pos="1155"/>
        </w:tabs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A526D1">
        <w:rPr>
          <w:rFonts w:ascii="Arial" w:hAnsi="Arial" w:cs="Arial"/>
          <w:b/>
          <w:sz w:val="24"/>
          <w:szCs w:val="24"/>
        </w:rPr>
        <w:t>Email addresses</w:t>
      </w:r>
    </w:p>
    <w:p w:rsidR="008E7C8D" w:rsidRPr="00A526D1" w:rsidRDefault="008E7C8D" w:rsidP="008E7C8D">
      <w:pPr>
        <w:spacing w:line="48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A526D1">
        <w:rPr>
          <w:rFonts w:ascii="Arial" w:eastAsia="Times New Roman" w:hAnsi="Arial" w:cs="Arial"/>
          <w:color w:val="333333"/>
          <w:sz w:val="24"/>
          <w:szCs w:val="24"/>
        </w:rPr>
        <w:t xml:space="preserve">CDA: </w:t>
      </w:r>
      <w:hyperlink r:id="rId6" w:history="1">
        <w:r w:rsidRPr="00A526D1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chilotdesta@gmail.com</w:t>
        </w:r>
      </w:hyperlink>
      <w:r w:rsidRPr="00A526D1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</w:t>
      </w:r>
    </w:p>
    <w:p w:rsidR="008E7C8D" w:rsidRPr="00A526D1" w:rsidRDefault="008E7C8D" w:rsidP="008E7C8D">
      <w:pPr>
        <w:spacing w:line="48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A526D1">
        <w:rPr>
          <w:rFonts w:ascii="Arial" w:eastAsia="Times New Roman" w:hAnsi="Arial" w:cs="Arial"/>
          <w:color w:val="333333"/>
          <w:sz w:val="24"/>
          <w:szCs w:val="24"/>
        </w:rPr>
        <w:t>MWM:</w:t>
      </w:r>
      <w:r w:rsidRPr="00A526D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hyperlink r:id="rId7" w:history="1">
        <w:r w:rsidRPr="00A526D1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mehariho19@gmail.com</w:t>
        </w:r>
      </w:hyperlink>
      <w:r w:rsidRPr="00A526D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8E7C8D" w:rsidRPr="00A526D1" w:rsidRDefault="008E7C8D" w:rsidP="008E7C8D">
      <w:pPr>
        <w:spacing w:line="48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A526D1">
        <w:rPr>
          <w:rFonts w:ascii="Arial" w:eastAsia="Times New Roman" w:hAnsi="Arial" w:cs="Arial"/>
          <w:color w:val="333333"/>
          <w:sz w:val="24"/>
          <w:szCs w:val="24"/>
        </w:rPr>
        <w:t xml:space="preserve">MKY: </w:t>
      </w:r>
      <w:hyperlink r:id="rId8" w:history="1">
        <w:r w:rsidRPr="00A526D1">
          <w:rPr>
            <w:rStyle w:val="Hyperlink"/>
            <w:rFonts w:ascii="Arial" w:eastAsia="Times New Roman" w:hAnsi="Arial" w:cs="Arial"/>
            <w:sz w:val="24"/>
            <w:szCs w:val="24"/>
          </w:rPr>
          <w:t>melaku98@gmail.com</w:t>
        </w:r>
      </w:hyperlink>
      <w:r w:rsidRPr="00A526D1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</w:p>
    <w:p w:rsidR="008E7C8D" w:rsidRPr="00A526D1" w:rsidRDefault="008E7C8D" w:rsidP="008E7C8D">
      <w:pPr>
        <w:spacing w:line="48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8E7C8D" w:rsidRDefault="008E7C8D" w:rsidP="008E7C8D">
      <w:pPr>
        <w:tabs>
          <w:tab w:val="left" w:pos="1155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8E7C8D" w:rsidRDefault="008E7C8D" w:rsidP="008E7C8D">
      <w:pPr>
        <w:tabs>
          <w:tab w:val="left" w:pos="786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8E7C8D" w:rsidRPr="0012520A" w:rsidRDefault="008E7C8D" w:rsidP="008E7C8D">
      <w:pPr>
        <w:tabs>
          <w:tab w:val="left" w:pos="1155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8E7C8D" w:rsidRPr="00756E2A" w:rsidRDefault="008E7C8D" w:rsidP="008E7C8D">
      <w:pPr>
        <w:spacing w:line="48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56E2A">
        <w:rPr>
          <w:rFonts w:ascii="Arial" w:eastAsia="Times New Roman" w:hAnsi="Arial" w:cs="Arial"/>
          <w:b/>
          <w:sz w:val="24"/>
          <w:szCs w:val="24"/>
        </w:rPr>
        <w:t>Abstract</w:t>
      </w:r>
    </w:p>
    <w:p w:rsidR="008E7C8D" w:rsidRPr="00293D0D" w:rsidRDefault="008E7C8D" w:rsidP="008E7C8D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293D0D">
        <w:rPr>
          <w:rFonts w:ascii="Arial" w:eastAsia="Times New Roman" w:hAnsi="Arial" w:cs="Arial"/>
          <w:b/>
          <w:sz w:val="24"/>
          <w:szCs w:val="24"/>
        </w:rPr>
        <w:t xml:space="preserve">Background: </w:t>
      </w:r>
      <w:r w:rsidRPr="00D8745C">
        <w:rPr>
          <w:rFonts w:ascii="Arial" w:eastAsia="Times New Roman" w:hAnsi="Arial" w:cs="Arial"/>
          <w:sz w:val="24"/>
          <w:szCs w:val="24"/>
        </w:rPr>
        <w:t>Globally,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293D0D">
        <w:rPr>
          <w:rFonts w:ascii="Arial" w:hAnsi="Arial" w:cs="Arial"/>
          <w:sz w:val="24"/>
          <w:szCs w:val="24"/>
        </w:rPr>
        <w:t xml:space="preserve">nemia </w:t>
      </w:r>
      <w:r>
        <w:rPr>
          <w:rFonts w:ascii="Arial" w:hAnsi="Arial" w:cs="Arial"/>
          <w:sz w:val="24"/>
          <w:szCs w:val="24"/>
        </w:rPr>
        <w:t>is</w:t>
      </w:r>
      <w:r w:rsidRPr="00293D0D">
        <w:rPr>
          <w:rFonts w:ascii="Arial" w:hAnsi="Arial" w:cs="Arial"/>
          <w:sz w:val="24"/>
          <w:szCs w:val="24"/>
        </w:rPr>
        <w:t xml:space="preserve"> the most frequent hematological </w:t>
      </w:r>
      <w:r>
        <w:rPr>
          <w:rFonts w:ascii="Arial" w:hAnsi="Arial" w:cs="Arial"/>
          <w:sz w:val="24"/>
          <w:szCs w:val="24"/>
        </w:rPr>
        <w:t>disorder</w:t>
      </w:r>
      <w:r w:rsidRPr="00293D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among</w:t>
      </w:r>
      <w:r w:rsidRPr="00293D0D">
        <w:rPr>
          <w:rFonts w:ascii="Arial" w:hAnsi="Arial" w:cs="Arial"/>
          <w:sz w:val="24"/>
          <w:szCs w:val="24"/>
        </w:rPr>
        <w:t xml:space="preserve"> HIV-infected patients</w:t>
      </w:r>
      <w:r>
        <w:rPr>
          <w:rFonts w:ascii="Arial" w:hAnsi="Arial" w:cs="Arial"/>
          <w:sz w:val="24"/>
          <w:szCs w:val="24"/>
        </w:rPr>
        <w:t>.</w:t>
      </w:r>
      <w:r w:rsidRPr="00293D0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P</w:t>
      </w:r>
      <w:r w:rsidRPr="00293D0D">
        <w:rPr>
          <w:rFonts w:ascii="Arial" w:hAnsi="Arial" w:cs="Arial"/>
          <w:sz w:val="24"/>
          <w:szCs w:val="24"/>
        </w:rPr>
        <w:t xml:space="preserve">eople with anemia often suffer from impaired physical functioning, </w:t>
      </w:r>
      <w:r w:rsidRPr="00293D0D">
        <w:rPr>
          <w:rFonts w:ascii="Arial" w:hAnsi="Arial" w:cs="Arial"/>
          <w:sz w:val="24"/>
          <w:szCs w:val="24"/>
        </w:rPr>
        <w:lastRenderedPageBreak/>
        <w:t xml:space="preserve">psychological distress, and poor quality of life. Therefore, this study </w:t>
      </w:r>
      <w:r>
        <w:rPr>
          <w:rFonts w:ascii="Arial" w:hAnsi="Arial" w:cs="Arial"/>
          <w:sz w:val="24"/>
          <w:szCs w:val="24"/>
        </w:rPr>
        <w:t xml:space="preserve">aimed to </w:t>
      </w:r>
      <w:r w:rsidRPr="00293D0D">
        <w:rPr>
          <w:rFonts w:ascii="Arial" w:hAnsi="Arial" w:cs="Arial"/>
          <w:sz w:val="24"/>
          <w:szCs w:val="24"/>
        </w:rPr>
        <w:t xml:space="preserve">determine the incidence of anemia and its predictors among HIV infected individuals </w:t>
      </w:r>
      <w:r>
        <w:rPr>
          <w:rFonts w:ascii="Arial" w:hAnsi="Arial" w:cs="Arial"/>
          <w:sz w:val="24"/>
          <w:szCs w:val="24"/>
        </w:rPr>
        <w:t xml:space="preserve">in northwest Ethiopia. </w:t>
      </w:r>
    </w:p>
    <w:p w:rsidR="008E7C8D" w:rsidRPr="00293D0D" w:rsidRDefault="008E7C8D" w:rsidP="008E7C8D">
      <w:pPr>
        <w:spacing w:after="0" w:line="48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93D0D">
        <w:rPr>
          <w:rFonts w:ascii="Arial" w:hAnsi="Arial" w:cs="Arial"/>
          <w:b/>
          <w:sz w:val="24"/>
          <w:szCs w:val="24"/>
        </w:rPr>
        <w:t>Methods:</w:t>
      </w:r>
      <w:r w:rsidRPr="00293D0D">
        <w:rPr>
          <w:rFonts w:ascii="Arial" w:hAnsi="Arial" w:cs="Arial"/>
          <w:sz w:val="24"/>
          <w:szCs w:val="24"/>
        </w:rPr>
        <w:t xml:space="preserve"> A total of 486 adult HIV patients on the first-line ART </w:t>
      </w:r>
      <w:r>
        <w:rPr>
          <w:rFonts w:ascii="Arial" w:hAnsi="Arial" w:cs="Arial"/>
          <w:sz w:val="24"/>
          <w:szCs w:val="24"/>
        </w:rPr>
        <w:t xml:space="preserve">with </w:t>
      </w:r>
      <w:r w:rsidRPr="00293D0D">
        <w:rPr>
          <w:rFonts w:ascii="Arial" w:hAnsi="Arial" w:cs="Arial"/>
          <w:sz w:val="24"/>
          <w:szCs w:val="24"/>
        </w:rPr>
        <w:t xml:space="preserve">complete information </w:t>
      </w:r>
      <w:r>
        <w:rPr>
          <w:rFonts w:ascii="Arial" w:hAnsi="Arial" w:cs="Arial"/>
          <w:sz w:val="24"/>
          <w:szCs w:val="24"/>
        </w:rPr>
        <w:t xml:space="preserve">were </w:t>
      </w:r>
      <w:r w:rsidRPr="00293D0D">
        <w:rPr>
          <w:rFonts w:ascii="Arial" w:hAnsi="Arial" w:cs="Arial"/>
          <w:sz w:val="24"/>
          <w:szCs w:val="24"/>
        </w:rPr>
        <w:t xml:space="preserve">enrolled in the adult care clinics of </w:t>
      </w:r>
      <w:r w:rsidRPr="00293D0D">
        <w:rPr>
          <w:rFonts w:ascii="Arial" w:eastAsia="Times New Roman" w:hAnsi="Arial" w:cs="Arial"/>
          <w:sz w:val="24"/>
          <w:szCs w:val="24"/>
        </w:rPr>
        <w:t>northwest Amhara referral hospitals</w:t>
      </w:r>
      <w:r w:rsidRPr="00293D0D">
        <w:rPr>
          <w:rFonts w:ascii="Arial" w:hAnsi="Arial" w:cs="Arial"/>
          <w:sz w:val="24"/>
          <w:szCs w:val="24"/>
        </w:rPr>
        <w:t xml:space="preserve"> from December 2015 </w:t>
      </w:r>
      <w:r>
        <w:rPr>
          <w:rFonts w:ascii="Arial" w:hAnsi="Arial" w:cs="Arial"/>
          <w:sz w:val="24"/>
          <w:szCs w:val="24"/>
        </w:rPr>
        <w:t xml:space="preserve">to </w:t>
      </w:r>
      <w:r w:rsidRPr="00293D0D">
        <w:rPr>
          <w:rFonts w:ascii="Arial" w:hAnsi="Arial" w:cs="Arial"/>
          <w:sz w:val="24"/>
          <w:szCs w:val="24"/>
        </w:rPr>
        <w:t>December 2018.</w:t>
      </w:r>
      <w:r>
        <w:rPr>
          <w:rFonts w:ascii="Arial" w:hAnsi="Arial" w:cs="Arial"/>
          <w:sz w:val="24"/>
          <w:szCs w:val="24"/>
        </w:rPr>
        <w:t xml:space="preserve"> The d</w:t>
      </w:r>
      <w:r w:rsidRPr="00CA695C">
        <w:rPr>
          <w:rFonts w:ascii="Arial" w:hAnsi="Arial" w:cs="Arial"/>
          <w:sz w:val="24"/>
          <w:szCs w:val="24"/>
        </w:rPr>
        <w:t>ata were enter</w:t>
      </w:r>
      <w:r>
        <w:rPr>
          <w:rFonts w:ascii="Arial" w:hAnsi="Arial" w:cs="Arial"/>
          <w:sz w:val="24"/>
          <w:szCs w:val="24"/>
        </w:rPr>
        <w:t>ed into Epi data version 4.2</w:t>
      </w:r>
      <w:r w:rsidRPr="00CA695C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</w:t>
      </w:r>
      <w:r w:rsidRPr="00CA695C">
        <w:rPr>
          <w:rFonts w:ascii="Arial" w:hAnsi="Arial" w:cs="Arial"/>
          <w:sz w:val="24"/>
          <w:szCs w:val="24"/>
        </w:rPr>
        <w:t xml:space="preserve">exported to Stata version 14 for analysis. </w:t>
      </w:r>
      <w:r>
        <w:rPr>
          <w:rFonts w:ascii="Arial" w:hAnsi="Arial" w:cs="Arial"/>
          <w:sz w:val="24"/>
          <w:szCs w:val="24"/>
        </w:rPr>
        <w:t xml:space="preserve">The </w:t>
      </w:r>
      <w:r w:rsidRPr="00CA695C">
        <w:rPr>
          <w:rFonts w:ascii="Arial" w:hAnsi="Arial" w:cs="Arial"/>
          <w:sz w:val="24"/>
          <w:szCs w:val="24"/>
        </w:rPr>
        <w:t xml:space="preserve">Kaplan-Meier estimates were used to describe </w:t>
      </w:r>
      <w:r>
        <w:rPr>
          <w:rFonts w:ascii="Arial" w:hAnsi="Arial" w:cs="Arial"/>
          <w:sz w:val="24"/>
          <w:szCs w:val="24"/>
        </w:rPr>
        <w:t xml:space="preserve">the </w:t>
      </w:r>
      <w:r w:rsidRPr="00CA695C">
        <w:rPr>
          <w:rFonts w:ascii="Arial" w:hAnsi="Arial" w:cs="Arial"/>
          <w:sz w:val="24"/>
          <w:szCs w:val="24"/>
        </w:rPr>
        <w:t>time-to-event distributions. Cox regression model</w:t>
      </w:r>
      <w:r>
        <w:rPr>
          <w:rFonts w:ascii="Arial" w:hAnsi="Arial" w:cs="Arial"/>
          <w:sz w:val="24"/>
          <w:szCs w:val="24"/>
        </w:rPr>
        <w:t xml:space="preserve"> was used to identify </w:t>
      </w:r>
      <w:r w:rsidRPr="00CA695C">
        <w:rPr>
          <w:rFonts w:ascii="Arial" w:hAnsi="Arial" w:cs="Arial"/>
          <w:sz w:val="24"/>
          <w:szCs w:val="24"/>
        </w:rPr>
        <w:t xml:space="preserve">predictors of anemia. Variables with P-values of less than 0.2 in the bivariable analysis were considered in the multivariate regression. </w:t>
      </w:r>
      <w:r>
        <w:rPr>
          <w:rFonts w:ascii="Arial" w:hAnsi="Arial" w:cs="Arial"/>
          <w:sz w:val="24"/>
          <w:szCs w:val="24"/>
        </w:rPr>
        <w:t xml:space="preserve">Adjusted hazard ratio with </w:t>
      </w:r>
      <w:r w:rsidRPr="00CA695C">
        <w:rPr>
          <w:rFonts w:ascii="Arial" w:hAnsi="Arial" w:cs="Arial"/>
          <w:sz w:val="24"/>
          <w:szCs w:val="24"/>
        </w:rPr>
        <w:t xml:space="preserve"> 95% CI was computed, and variables with less than 0</w:t>
      </w:r>
      <w:r>
        <w:rPr>
          <w:rFonts w:ascii="Arial" w:hAnsi="Arial" w:cs="Arial"/>
          <w:sz w:val="24"/>
          <w:szCs w:val="24"/>
        </w:rPr>
        <w:t>.05 P-</w:t>
      </w:r>
      <w:r w:rsidRPr="00CA695C">
        <w:rPr>
          <w:rFonts w:ascii="Arial" w:hAnsi="Arial" w:cs="Arial"/>
          <w:sz w:val="24"/>
          <w:szCs w:val="24"/>
        </w:rPr>
        <w:t>values in the multivariable Cox regression</w:t>
      </w:r>
      <w:r>
        <w:rPr>
          <w:rFonts w:ascii="Arial" w:hAnsi="Arial" w:cs="Arial"/>
          <w:sz w:val="24"/>
          <w:szCs w:val="24"/>
        </w:rPr>
        <w:t xml:space="preserve"> </w:t>
      </w:r>
      <w:r w:rsidRPr="00CA695C">
        <w:rPr>
          <w:rFonts w:ascii="Arial" w:hAnsi="Arial" w:cs="Arial"/>
          <w:sz w:val="24"/>
          <w:szCs w:val="24"/>
        </w:rPr>
        <w:t xml:space="preserve"> were taken as significant predictors</w:t>
      </w:r>
      <w:r>
        <w:rPr>
          <w:rFonts w:ascii="Arial" w:hAnsi="Arial" w:cs="Arial"/>
          <w:sz w:val="24"/>
          <w:szCs w:val="24"/>
        </w:rPr>
        <w:t xml:space="preserve"> of anemia</w:t>
      </w:r>
      <w:r w:rsidRPr="00CA695C">
        <w:rPr>
          <w:rFonts w:ascii="Arial" w:hAnsi="Arial" w:cs="Arial"/>
          <w:sz w:val="24"/>
          <w:szCs w:val="24"/>
        </w:rPr>
        <w:t xml:space="preserve">. </w:t>
      </w:r>
    </w:p>
    <w:p w:rsidR="008E7C8D" w:rsidRPr="00E44801" w:rsidRDefault="008E7C8D" w:rsidP="008E7C8D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CA695C">
        <w:rPr>
          <w:rFonts w:ascii="Arial" w:hAnsi="Arial" w:cs="Arial"/>
          <w:b/>
          <w:sz w:val="24"/>
          <w:szCs w:val="24"/>
          <w:shd w:val="clear" w:color="auto" w:fill="FFFFFF"/>
        </w:rPr>
        <w:t xml:space="preserve">Results: </w:t>
      </w:r>
      <w:r w:rsidRPr="00D75356">
        <w:rPr>
          <w:rFonts w:ascii="Arial" w:hAnsi="Arial" w:cs="Arial"/>
          <w:sz w:val="24"/>
          <w:szCs w:val="24"/>
          <w:shd w:val="clear" w:color="auto" w:fill="FFFFFF"/>
        </w:rPr>
        <w:t>This study noted an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Pr="00CA695C">
        <w:rPr>
          <w:rFonts w:ascii="Arial" w:hAnsi="Arial" w:cs="Arial"/>
          <w:sz w:val="24"/>
          <w:szCs w:val="24"/>
          <w:shd w:val="clear" w:color="auto" w:fill="FFFFFF"/>
        </w:rPr>
        <w:t xml:space="preserve">overall </w:t>
      </w:r>
      <w:r w:rsidRPr="009615DE">
        <w:rPr>
          <w:rFonts w:ascii="Arial" w:hAnsi="Arial" w:cs="Arial"/>
          <w:sz w:val="24"/>
          <w:szCs w:val="24"/>
        </w:rPr>
        <w:t xml:space="preserve">26.4 per 100 </w:t>
      </w:r>
      <w:r>
        <w:rPr>
          <w:rFonts w:ascii="Arial" w:hAnsi="Arial" w:cs="Arial"/>
          <w:sz w:val="24"/>
          <w:szCs w:val="24"/>
        </w:rPr>
        <w:t xml:space="preserve">person-year </w:t>
      </w:r>
      <w:r w:rsidRPr="009615DE">
        <w:rPr>
          <w:rFonts w:ascii="Arial" w:hAnsi="Arial" w:cs="Arial"/>
          <w:sz w:val="24"/>
          <w:szCs w:val="24"/>
        </w:rPr>
        <w:t>observations</w:t>
      </w:r>
      <w:r>
        <w:rPr>
          <w:rFonts w:ascii="Arial" w:hAnsi="Arial" w:cs="Arial"/>
          <w:sz w:val="24"/>
          <w:szCs w:val="24"/>
        </w:rPr>
        <w:t xml:space="preserve"> </w:t>
      </w:r>
      <w:r w:rsidRPr="009615DE">
        <w:rPr>
          <w:rFonts w:ascii="Arial" w:hAnsi="Arial" w:cs="Arial"/>
          <w:sz w:val="24"/>
          <w:szCs w:val="24"/>
        </w:rPr>
        <w:t>(95% CI: 23.46, 30.74)</w:t>
      </w:r>
      <w:r>
        <w:rPr>
          <w:rFonts w:ascii="Arial" w:hAnsi="Arial" w:cs="Arial"/>
          <w:sz w:val="24"/>
          <w:szCs w:val="24"/>
        </w:rPr>
        <w:t xml:space="preserve"> incidence rate of anemia. According to the multivariable Cox </w:t>
      </w:r>
      <w:r w:rsidRPr="00CA695C">
        <w:rPr>
          <w:rFonts w:ascii="Arial" w:hAnsi="Arial" w:cs="Arial"/>
          <w:sz w:val="24"/>
          <w:szCs w:val="24"/>
        </w:rPr>
        <w:t>regression</w:t>
      </w:r>
      <w:r>
        <w:rPr>
          <w:rFonts w:ascii="Arial" w:hAnsi="Arial" w:cs="Arial"/>
          <w:sz w:val="24"/>
          <w:szCs w:val="24"/>
        </w:rPr>
        <w:t>, TB co-infe</w:t>
      </w:r>
      <w:r w:rsidRPr="00E44801">
        <w:rPr>
          <w:rFonts w:ascii="Arial" w:hAnsi="Arial" w:cs="Arial"/>
          <w:sz w:val="24"/>
          <w:szCs w:val="24"/>
        </w:rPr>
        <w:t>ction (AHR =</w:t>
      </w:r>
      <w:r w:rsidRPr="00E44801">
        <w:rPr>
          <w:rFonts w:ascii="Arial" w:hAnsi="Arial" w:cs="Arial"/>
          <w:iCs/>
          <w:sz w:val="24"/>
          <w:szCs w:val="24"/>
        </w:rPr>
        <w:t>1.99, 95%CI: 1.45, 2.74)</w:t>
      </w:r>
      <w:r w:rsidRPr="00E44801">
        <w:rPr>
          <w:rFonts w:ascii="Arial" w:hAnsi="Arial" w:cs="Arial"/>
          <w:sz w:val="24"/>
          <w:szCs w:val="24"/>
        </w:rPr>
        <w:t xml:space="preserve">, zidovudine-based regimen </w:t>
      </w:r>
      <w:r w:rsidRPr="00E44801">
        <w:rPr>
          <w:rFonts w:ascii="Arial" w:hAnsi="Arial" w:cs="Arial"/>
          <w:iCs/>
          <w:sz w:val="24"/>
          <w:szCs w:val="24"/>
        </w:rPr>
        <w:t>(AHR=1.39, 95CI: 1.1, 1.85</w:t>
      </w:r>
      <w:r w:rsidRPr="00E44801">
        <w:rPr>
          <w:rFonts w:ascii="Arial" w:hAnsi="Arial" w:cs="Arial"/>
          <w:sz w:val="24"/>
          <w:szCs w:val="24"/>
        </w:rPr>
        <w:t xml:space="preserve">), CD4 level </w:t>
      </w:r>
      <w:r w:rsidRPr="00E44801">
        <w:rPr>
          <w:rFonts w:ascii="Arial" w:hAnsi="Arial" w:cs="Arial"/>
          <w:iCs/>
          <w:sz w:val="24"/>
          <w:szCs w:val="24"/>
        </w:rPr>
        <w:t xml:space="preserve">(AHR= 1.7, 95%CI: 1.23, 2.35), advanced WHO stage (AHR=1.32, 95%CI: 1.01, 1.74), and being under-weight </w:t>
      </w:r>
      <w:bookmarkStart w:id="0" w:name="_GoBack"/>
      <w:bookmarkEnd w:id="0"/>
      <w:r w:rsidRPr="00E44801">
        <w:rPr>
          <w:rFonts w:ascii="Arial" w:hAnsi="Arial" w:cs="Arial"/>
          <w:iCs/>
          <w:sz w:val="24"/>
          <w:szCs w:val="24"/>
        </w:rPr>
        <w:t>(AHR= 1.53, 95%CI: 1.14, 2.07)</w:t>
      </w:r>
      <w:r>
        <w:rPr>
          <w:rFonts w:ascii="Arial" w:hAnsi="Arial" w:cs="Arial"/>
          <w:iCs/>
          <w:sz w:val="24"/>
          <w:szCs w:val="24"/>
        </w:rPr>
        <w:t xml:space="preserve"> were predictors of anemia. </w:t>
      </w:r>
    </w:p>
    <w:p w:rsidR="008E7C8D" w:rsidRPr="008E7C8D" w:rsidRDefault="008E7C8D" w:rsidP="008E7C8D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8E7C8D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Conclusion: </w:t>
      </w:r>
      <w:r w:rsidRPr="008E7C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Anemia is a burden</w:t>
      </w:r>
      <w:r w:rsidRPr="008E7C8D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E7C8D">
        <w:rPr>
          <w:rFonts w:ascii="Arial" w:hAnsi="Arial" w:cs="Arial"/>
          <w:color w:val="000000" w:themeColor="text1"/>
          <w:sz w:val="24"/>
          <w:szCs w:val="24"/>
        </w:rPr>
        <w:t>among HIV patients in the study setting.</w:t>
      </w:r>
      <w:r w:rsidRPr="008E7C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Base-line clinical variables, TB co-infection, and zidovudine-based were predictors of anemia. Therefore, early identification of anemia and addressing significant predictors are highly suggested to the study setting. </w:t>
      </w:r>
    </w:p>
    <w:p w:rsidR="008E7C8D" w:rsidRPr="008E7C8D" w:rsidRDefault="008E7C8D" w:rsidP="008E7C8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8E7C8D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Keywords:  </w:t>
      </w:r>
      <w:r w:rsidRPr="008E7C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Anemia incidence, HIV, </w:t>
      </w:r>
      <w:r w:rsidRPr="008E7C8D">
        <w:rPr>
          <w:rFonts w:ascii="Arial" w:hAnsi="Arial" w:cs="Arial"/>
          <w:color w:val="000000" w:themeColor="text1"/>
          <w:sz w:val="24"/>
          <w:szCs w:val="24"/>
        </w:rPr>
        <w:t>first-line HAART, Ethiopia</w:t>
      </w:r>
    </w:p>
    <w:sectPr w:rsidR="008E7C8D" w:rsidRPr="008E7C8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C8D" w:rsidRDefault="008E7C8D" w:rsidP="008E7C8D">
      <w:pPr>
        <w:spacing w:after="0" w:line="240" w:lineRule="auto"/>
      </w:pPr>
      <w:r>
        <w:separator/>
      </w:r>
    </w:p>
  </w:endnote>
  <w:endnote w:type="continuationSeparator" w:id="0">
    <w:p w:rsidR="008E7C8D" w:rsidRDefault="008E7C8D" w:rsidP="008E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50694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E7C8D" w:rsidRDefault="008E7C8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8E7C8D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8E7C8D" w:rsidRDefault="008E7C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C8D" w:rsidRDefault="008E7C8D" w:rsidP="008E7C8D">
      <w:pPr>
        <w:spacing w:after="0" w:line="240" w:lineRule="auto"/>
      </w:pPr>
      <w:r>
        <w:separator/>
      </w:r>
    </w:p>
  </w:footnote>
  <w:footnote w:type="continuationSeparator" w:id="0">
    <w:p w:rsidR="008E7C8D" w:rsidRDefault="008E7C8D" w:rsidP="008E7C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C8D"/>
    <w:rsid w:val="008E7C8D"/>
    <w:rsid w:val="0096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804EB3-87A7-43D0-BE69-35C67FBA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C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7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C8D"/>
  </w:style>
  <w:style w:type="paragraph" w:styleId="Footer">
    <w:name w:val="footer"/>
    <w:basedOn w:val="Normal"/>
    <w:link w:val="FooterChar"/>
    <w:uiPriority w:val="99"/>
    <w:unhideWhenUsed/>
    <w:rsid w:val="008E7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aku98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ehariho19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lotdesta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Chilot D</dc:creator>
  <cp:keywords/>
  <dc:description/>
  <cp:lastModifiedBy>Chilot D</cp:lastModifiedBy>
  <cp:revision>1</cp:revision>
  <dcterms:created xsi:type="dcterms:W3CDTF">2021-06-22T14:26:00Z</dcterms:created>
  <dcterms:modified xsi:type="dcterms:W3CDTF">2021-06-22T14:28:00Z</dcterms:modified>
</cp:coreProperties>
</file>