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1F2" w:rsidRDefault="009D6365"/>
    <w:p w:rsidR="009D6365" w:rsidRDefault="009D6365"/>
    <w:p w:rsidR="009D6365" w:rsidRPr="009D6365" w:rsidRDefault="009D6365" w:rsidP="009D6365">
      <w:pPr>
        <w:pStyle w:val="ListParagraph"/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Home Medication Reconciliation Begins on Admission    9/15</w:t>
      </w:r>
    </w:p>
    <w:p w:rsidR="009D6365" w:rsidRDefault="009D6365" w:rsidP="009D6365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References  </w:t>
      </w:r>
    </w:p>
    <w:p w:rsidR="009D6365" w:rsidRPr="00C41B7F" w:rsidRDefault="009D6365" w:rsidP="009D6365">
      <w:pPr>
        <w:pStyle w:val="ListParagraph"/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Gleason KM, Brake H, </w:t>
      </w:r>
      <w:proofErr w:type="spellStart"/>
      <w:r>
        <w:rPr>
          <w:sz w:val="24"/>
          <w:szCs w:val="24"/>
        </w:rPr>
        <w:t>Agramonte</w:t>
      </w:r>
      <w:proofErr w:type="spellEnd"/>
      <w:r>
        <w:rPr>
          <w:sz w:val="24"/>
          <w:szCs w:val="24"/>
        </w:rPr>
        <w:t xml:space="preserve"> V, </w:t>
      </w:r>
      <w:proofErr w:type="spellStart"/>
      <w:r>
        <w:rPr>
          <w:sz w:val="24"/>
          <w:szCs w:val="24"/>
        </w:rPr>
        <w:t>Pertetti</w:t>
      </w:r>
      <w:proofErr w:type="spellEnd"/>
      <w:r>
        <w:rPr>
          <w:sz w:val="24"/>
          <w:szCs w:val="24"/>
        </w:rPr>
        <w:t xml:space="preserve"> C. Medications at Transitions and Clinical Handoffs (MATCH) Toolkit for Medication Reconciliation. AHRQ Publication No. 11(12)-0059. Rockville, MD. </w:t>
      </w:r>
      <w:proofErr w:type="gramStart"/>
      <w:r>
        <w:rPr>
          <w:sz w:val="24"/>
          <w:szCs w:val="24"/>
        </w:rPr>
        <w:t>Agency for Healthcare Research and Quality.</w:t>
      </w:r>
      <w:proofErr w:type="gramEnd"/>
      <w:r>
        <w:rPr>
          <w:sz w:val="24"/>
          <w:szCs w:val="24"/>
        </w:rPr>
        <w:t xml:space="preserve"> December 2011. </w:t>
      </w:r>
      <w:proofErr w:type="gramStart"/>
      <w:r w:rsidRPr="00C41B7F">
        <w:rPr>
          <w:sz w:val="24"/>
          <w:szCs w:val="24"/>
        </w:rPr>
        <w:t xml:space="preserve">Retrieved March, 29, 2015 from </w:t>
      </w:r>
      <w:hyperlink r:id="rId4" w:history="1">
        <w:r w:rsidRPr="00C41B7F">
          <w:rPr>
            <w:rStyle w:val="Hyperlink"/>
            <w:sz w:val="24"/>
            <w:szCs w:val="24"/>
          </w:rPr>
          <w:t>www.ahrq.gov/professionals/quality-patient-safe</w:t>
        </w:r>
      </w:hyperlink>
      <w:r w:rsidRPr="00C41B7F">
        <w:rPr>
          <w:sz w:val="24"/>
          <w:szCs w:val="24"/>
        </w:rPr>
        <w:t>.</w:t>
      </w:r>
      <w:proofErr w:type="gramEnd"/>
      <w:r w:rsidRPr="00C41B7F">
        <w:rPr>
          <w:sz w:val="24"/>
          <w:szCs w:val="24"/>
        </w:rPr>
        <w:t xml:space="preserve"> </w:t>
      </w:r>
    </w:p>
    <w:p w:rsidR="009D6365" w:rsidRDefault="009D6365" w:rsidP="009D6365">
      <w:pPr>
        <w:pStyle w:val="ListParagraph"/>
        <w:spacing w:line="480" w:lineRule="auto"/>
        <w:ind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Ziaeian</w:t>
      </w:r>
      <w:proofErr w:type="spellEnd"/>
      <w:r>
        <w:rPr>
          <w:sz w:val="24"/>
          <w:szCs w:val="24"/>
        </w:rPr>
        <w:t xml:space="preserve"> B, </w:t>
      </w:r>
      <w:proofErr w:type="spellStart"/>
      <w:r>
        <w:rPr>
          <w:sz w:val="24"/>
          <w:szCs w:val="24"/>
        </w:rPr>
        <w:t>Arauio</w:t>
      </w:r>
      <w:proofErr w:type="spellEnd"/>
      <w:r>
        <w:rPr>
          <w:sz w:val="24"/>
          <w:szCs w:val="24"/>
        </w:rPr>
        <w:t xml:space="preserve">, K, Van Ness, P, </w:t>
      </w:r>
      <w:proofErr w:type="spellStart"/>
      <w:r>
        <w:rPr>
          <w:sz w:val="24"/>
          <w:szCs w:val="24"/>
        </w:rPr>
        <w:t>Horwitz</w:t>
      </w:r>
      <w:proofErr w:type="spellEnd"/>
      <w:r>
        <w:rPr>
          <w:sz w:val="24"/>
          <w:szCs w:val="24"/>
        </w:rPr>
        <w:t xml:space="preserve">, L. (2012). Medication reconciliation accuracy and patient understanding of intended medication changes on hospital discharge. J Gen Intern Med. 27(11): 1513-1520. Retrieved March 26, 2015 </w:t>
      </w:r>
      <w:hyperlink r:id="rId5" w:history="1">
        <w:r w:rsidRPr="00737D76">
          <w:rPr>
            <w:rStyle w:val="Hyperlink"/>
            <w:sz w:val="24"/>
            <w:szCs w:val="24"/>
          </w:rPr>
          <w:t>www.ncbi.nlm.nih.gov/pmc/articles/PMC3475816</w:t>
        </w:r>
      </w:hyperlink>
      <w:r>
        <w:rPr>
          <w:sz w:val="24"/>
          <w:szCs w:val="24"/>
        </w:rPr>
        <w:t>.</w:t>
      </w:r>
    </w:p>
    <w:p w:rsidR="009D6365" w:rsidRDefault="009D6365" w:rsidP="009D6365">
      <w:pPr>
        <w:pStyle w:val="ListParagraph"/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Heyworth L, </w:t>
      </w:r>
      <w:proofErr w:type="spellStart"/>
      <w:r>
        <w:rPr>
          <w:sz w:val="24"/>
          <w:szCs w:val="24"/>
        </w:rPr>
        <w:t>Paquin</w:t>
      </w:r>
      <w:proofErr w:type="spellEnd"/>
      <w:r>
        <w:rPr>
          <w:sz w:val="24"/>
          <w:szCs w:val="24"/>
        </w:rPr>
        <w:t xml:space="preserve"> A, Clark J, </w:t>
      </w:r>
      <w:proofErr w:type="spellStart"/>
      <w:r>
        <w:rPr>
          <w:sz w:val="24"/>
          <w:szCs w:val="24"/>
        </w:rPr>
        <w:t>Kamenker</w:t>
      </w:r>
      <w:proofErr w:type="spellEnd"/>
      <w:r>
        <w:rPr>
          <w:sz w:val="24"/>
          <w:szCs w:val="24"/>
        </w:rPr>
        <w:t xml:space="preserve"> V, Stewart M, Martin T, Simon S. Engaging patient in medication reconciliation via a patient portal following hospital discharge. </w:t>
      </w:r>
      <w:proofErr w:type="gramStart"/>
      <w:r>
        <w:rPr>
          <w:sz w:val="24"/>
          <w:szCs w:val="24"/>
        </w:rPr>
        <w:t>Published online 1 February 2014.</w:t>
      </w:r>
      <w:proofErr w:type="gramEnd"/>
      <w:r>
        <w:rPr>
          <w:sz w:val="24"/>
          <w:szCs w:val="24"/>
        </w:rPr>
        <w:t xml:space="preserve"> Retrieved March 26, 2015 from </w:t>
      </w:r>
      <w:hyperlink r:id="rId6" w:history="1">
        <w:r w:rsidRPr="00737D76">
          <w:rPr>
            <w:rStyle w:val="Hyperlink"/>
            <w:sz w:val="24"/>
            <w:szCs w:val="24"/>
          </w:rPr>
          <w:t>http://dx.doi.org/10.1136/amiajnl-2013--001995e157-e</w:t>
        </w:r>
      </w:hyperlink>
      <w:r>
        <w:rPr>
          <w:sz w:val="24"/>
          <w:szCs w:val="24"/>
        </w:rPr>
        <w:t xml:space="preserve"> </w:t>
      </w:r>
    </w:p>
    <w:p w:rsidR="009D6365" w:rsidRDefault="009D6365" w:rsidP="009D6365">
      <w:pPr>
        <w:pStyle w:val="ListParagraph"/>
        <w:tabs>
          <w:tab w:val="left" w:pos="126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Sides, E., Zimmerman, L., Wilson, L., Pan, W., Olson, D., Peterson, E., Bushnell, C. (2012).</w:t>
      </w:r>
      <w:proofErr w:type="gramEnd"/>
      <w:r>
        <w:rPr>
          <w:sz w:val="24"/>
          <w:szCs w:val="24"/>
        </w:rPr>
        <w:t xml:space="preserve"> Medication coaching program for patients with minor stroke or TIA: A pilot study. BMC Public Health, 12:549. Retrieved March 31, 2015 from www.biomedcentral.com/1471-2458/12/549</w:t>
      </w:r>
    </w:p>
    <w:p w:rsidR="009D6365" w:rsidRDefault="009D6365" w:rsidP="009D6365">
      <w:pPr>
        <w:pStyle w:val="ListParagraph"/>
        <w:spacing w:line="480" w:lineRule="auto"/>
        <w:rPr>
          <w:sz w:val="24"/>
          <w:szCs w:val="24"/>
        </w:rPr>
      </w:pPr>
    </w:p>
    <w:p w:rsidR="009D6365" w:rsidRDefault="009D6365"/>
    <w:sectPr w:rsidR="009D6365" w:rsidSect="00F56B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D6365"/>
    <w:rsid w:val="009D6365"/>
    <w:rsid w:val="00AA3FE6"/>
    <w:rsid w:val="00BF201C"/>
    <w:rsid w:val="00F5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3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D6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x.doi.org/10.1136/amiajnl-2013--001995e157-e" TargetMode="External"/><Relationship Id="rId5" Type="http://schemas.openxmlformats.org/officeDocument/2006/relationships/hyperlink" Target="http://www.ncbi.nlm.nih.gov/pmc/articles/PMC3475816" TargetMode="External"/><Relationship Id="rId4" Type="http://schemas.openxmlformats.org/officeDocument/2006/relationships/hyperlink" Target="http://www.ahrq.gov/professionals/quality-patient-sa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2015-09-17T18:18:00Z</dcterms:created>
  <dcterms:modified xsi:type="dcterms:W3CDTF">2015-09-17T18:20:00Z</dcterms:modified>
</cp:coreProperties>
</file>