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248D" w:rsidRDefault="0001248D" w:rsidP="0001248D">
      <w:pPr>
        <w:keepNext/>
        <w:keepLines/>
        <w:spacing w:before="240" w:after="0" w:line="480" w:lineRule="auto"/>
        <w:jc w:val="center"/>
        <w:outlineLvl w:val="0"/>
        <w:rPr>
          <w:rFonts w:ascii="Times New Roman" w:eastAsiaTheme="majorEastAsia" w:hAnsi="Times New Roman" w:cs="Times New Roman"/>
          <w:b/>
          <w:sz w:val="24"/>
          <w:szCs w:val="24"/>
        </w:rPr>
      </w:pPr>
      <w:bookmarkStart w:id="0" w:name="_Toc479515713"/>
      <w:r>
        <w:rPr>
          <w:rFonts w:ascii="Times New Roman" w:eastAsiaTheme="majorEastAsia" w:hAnsi="Times New Roman" w:cs="Times New Roman"/>
          <w:b/>
          <w:sz w:val="24"/>
          <w:szCs w:val="24"/>
        </w:rPr>
        <w:t>An Evidence Based Educational Intervention to Increase CPAP Compliance in Adult Patients Newly Diagnosed with Obstructive Sleep Apnea in an Urban Clinic.</w:t>
      </w:r>
    </w:p>
    <w:p w:rsidR="0001248D" w:rsidRPr="0001248D" w:rsidRDefault="0001248D" w:rsidP="0001248D">
      <w:pPr>
        <w:keepNext/>
        <w:keepLines/>
        <w:spacing w:before="240" w:after="0" w:line="480" w:lineRule="auto"/>
        <w:jc w:val="center"/>
        <w:outlineLvl w:val="0"/>
        <w:rPr>
          <w:rFonts w:ascii="Times New Roman" w:eastAsiaTheme="majorEastAsia" w:hAnsi="Times New Roman" w:cs="Times New Roman"/>
          <w:b/>
          <w:sz w:val="24"/>
          <w:szCs w:val="24"/>
        </w:rPr>
      </w:pPr>
      <w:r w:rsidRPr="0001248D">
        <w:rPr>
          <w:rFonts w:ascii="Times New Roman" w:eastAsiaTheme="majorEastAsia" w:hAnsi="Times New Roman" w:cs="Times New Roman"/>
          <w:b/>
          <w:sz w:val="24"/>
          <w:szCs w:val="24"/>
        </w:rPr>
        <w:t>Abstract</w:t>
      </w:r>
      <w:bookmarkEnd w:id="0"/>
    </w:p>
    <w:p w:rsidR="0001248D" w:rsidRPr="0001248D" w:rsidRDefault="0001248D" w:rsidP="0001248D">
      <w:pPr>
        <w:spacing w:line="480" w:lineRule="auto"/>
        <w:rPr>
          <w:rFonts w:ascii="Times New Roman" w:hAnsi="Times New Roman" w:cs="Times New Roman"/>
          <w:sz w:val="24"/>
          <w:szCs w:val="24"/>
        </w:rPr>
      </w:pPr>
      <w:r w:rsidRPr="0001248D">
        <w:rPr>
          <w:rFonts w:ascii="Times New Roman" w:hAnsi="Times New Roman" w:cs="Times New Roman"/>
          <w:sz w:val="24"/>
          <w:szCs w:val="24"/>
        </w:rPr>
        <w:t xml:space="preserve">Obstructive Sleep Apnea (OSA) is a highly prevalent sleep disorder that according to the American Academy of Sleep Medicine (AASM, 2014) now affects at least 25 million adults in the United States. The gold standard for treatment is Continuous Positive Airway Pressure </w:t>
      </w:r>
      <w:bookmarkStart w:id="1" w:name="_GoBack"/>
      <w:bookmarkEnd w:id="1"/>
      <w:r w:rsidRPr="0001248D">
        <w:rPr>
          <w:rFonts w:ascii="Times New Roman" w:hAnsi="Times New Roman" w:cs="Times New Roman"/>
          <w:sz w:val="24"/>
          <w:szCs w:val="24"/>
        </w:rPr>
        <w:t>(CPAP). However, the efficacy of CPAP therapy may be limited by poor compliance. The AASM (2016) estimates that as many as 50-60% of OSA patients are non-compliant with CPAP therapy.  There is currently no standard education approach or frequency of follow up appointments for patients newly diagnosed with OSA. Previous CPAP education studies have not specifically examined whether patient education programs resulted in apnea knowledge gain (Smith, Lana, Sullivan &amp; Warren, 2004). The present study sought to determine whether an evidence-based educational intervention will increase CPAP compliance in adults newly diagnosed with OSA in an urban clinic. The apnea knowledge tool will be utilized to measure patients’ gain in apnea knowledge pre-and post-intervention. Shahid, Wilkinson, Marcu &amp; Shapiro (2011) describe the apnea knowledge test tool as a multiple-choice questionnaire that was developed to assess the respondent’s knowledge of OSA and CPAP and was reported to have a modest internal consistency (Cronbach’s α = .60). The Transtheoretical Model of Behavior Change will guide this study as patients undergo stages of change to action to maintenance of CPAP therapy. There is compelling evidence that early and ongoing education improves CPAP</w:t>
      </w:r>
      <w:r>
        <w:rPr>
          <w:rFonts w:ascii="Times New Roman" w:hAnsi="Times New Roman" w:cs="Times New Roman"/>
          <w:sz w:val="24"/>
          <w:szCs w:val="24"/>
        </w:rPr>
        <w:t xml:space="preserve"> compliance and apnea knowledge, current study is in progress.</w:t>
      </w:r>
    </w:p>
    <w:p w:rsidR="00101D70" w:rsidRDefault="00101D70"/>
    <w:sectPr w:rsidR="00101D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48D"/>
    <w:rsid w:val="0001248D"/>
    <w:rsid w:val="00101D70"/>
    <w:rsid w:val="00D16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18C07A-959A-4C91-9352-1EAFC59F9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NFATAH</dc:creator>
  <cp:keywords/>
  <dc:description/>
  <cp:lastModifiedBy>NFATAH</cp:lastModifiedBy>
  <cp:revision>2</cp:revision>
  <dcterms:created xsi:type="dcterms:W3CDTF">2017-07-26T14:47:00Z</dcterms:created>
  <dcterms:modified xsi:type="dcterms:W3CDTF">2017-07-26T14:47:00Z</dcterms:modified>
</cp:coreProperties>
</file>