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072AC">
      <w:pPr>
        <w:jc w:val="both"/>
        <w:rPr>
          <w:sz w:val="22"/>
          <w:szCs w:val="22"/>
          <w:lang w:val="en-GB"/>
        </w:rPr>
      </w:pPr>
      <w:r>
        <w:rPr>
          <w:sz w:val="22"/>
          <w:szCs w:val="22"/>
          <w:lang w:val="en-GB"/>
        </w:rPr>
        <w:t xml:space="preserve">                                                                                                                       </w:t>
      </w:r>
      <w:r w:rsidR="00AD1D57">
        <w:rPr>
          <w:sz w:val="22"/>
          <w:szCs w:val="22"/>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0.35pt;height:112.2pt">
            <v:imagedata r:id="rId7" o:title="PHOTO1"/>
          </v:shape>
        </w:pict>
      </w:r>
    </w:p>
    <w:p w:rsidR="00000000" w:rsidRDefault="002072AC">
      <w:pPr>
        <w:rPr>
          <w:rFonts w:eastAsia="MS PGothic"/>
          <w:b/>
          <w:color w:val="000000"/>
          <w:sz w:val="28"/>
          <w:szCs w:val="28"/>
        </w:rPr>
      </w:pPr>
      <w:r>
        <w:rPr>
          <w:rFonts w:eastAsia="MS PGothic"/>
          <w:b/>
          <w:color w:val="000000"/>
          <w:sz w:val="28"/>
          <w:szCs w:val="28"/>
        </w:rPr>
        <w:t xml:space="preserve">Title: Tracer-Scale </w:t>
      </w:r>
      <w:r>
        <w:rPr>
          <w:rFonts w:eastAsia="MS PGothic"/>
          <w:bCs/>
          <w:color w:val="000000"/>
          <w:sz w:val="28"/>
          <w:szCs w:val="28"/>
        </w:rPr>
        <w:t>Chemistry</w:t>
      </w:r>
      <w:r>
        <w:rPr>
          <w:rFonts w:eastAsia="MS PGothic"/>
          <w:color w:val="000000"/>
          <w:sz w:val="28"/>
          <w:szCs w:val="28"/>
        </w:rPr>
        <w:t xml:space="preserve"> of Volatile Oxygen-Bearing Compounds Formed by U, Pu and Cm </w:t>
      </w:r>
    </w:p>
    <w:p w:rsidR="00000000" w:rsidRDefault="002072AC">
      <w:pPr>
        <w:jc w:val="center"/>
        <w:rPr>
          <w:rFonts w:eastAsia="MS PGothic" w:hAnsi="Arial"/>
          <w:color w:val="000000"/>
        </w:rPr>
      </w:pPr>
      <w:r>
        <w:rPr>
          <w:rFonts w:eastAsia="MS PGothic" w:hAnsi="Arial"/>
          <w:color w:val="000000"/>
        </w:rPr>
        <w:br/>
      </w:r>
      <w:r>
        <w:rPr>
          <w:b/>
          <w:sz w:val="28"/>
          <w:szCs w:val="28"/>
        </w:rPr>
        <w:t xml:space="preserve">           </w:t>
      </w:r>
      <w:r>
        <w:rPr>
          <w:rFonts w:eastAsia="MS PGothic" w:hAnsi="Arial"/>
          <w:color w:val="000000"/>
        </w:rPr>
        <w:t xml:space="preserve">Name: </w:t>
      </w:r>
      <w:r w:rsidR="00AD1D57">
        <w:rPr>
          <w:rFonts w:eastAsia="MS PGothic" w:hAnsi="Arial"/>
          <w:color w:val="000000"/>
        </w:rPr>
        <w:t xml:space="preserve">Vladimir </w:t>
      </w:r>
      <w:r>
        <w:rPr>
          <w:rFonts w:eastAsia="MS PGothic" w:hAnsi="Arial"/>
          <w:color w:val="000000"/>
        </w:rPr>
        <w:t>Domanov</w:t>
      </w:r>
    </w:p>
    <w:p w:rsidR="00000000" w:rsidRDefault="002072AC">
      <w:pPr>
        <w:rPr>
          <w:rFonts w:eastAsia="MS PGothic" w:hAnsi="Arial"/>
          <w:color w:val="000000"/>
        </w:rPr>
      </w:pPr>
      <w:r>
        <w:rPr>
          <w:b/>
          <w:sz w:val="28"/>
          <w:szCs w:val="28"/>
        </w:rPr>
        <w:t xml:space="preserve">                  </w:t>
      </w:r>
      <w:r>
        <w:rPr>
          <w:b/>
          <w:sz w:val="28"/>
          <w:szCs w:val="28"/>
        </w:rPr>
        <w:t xml:space="preserve">   </w:t>
      </w:r>
      <w:r>
        <w:rPr>
          <w:rFonts w:eastAsia="MS PGothic" w:hAnsi="Arial"/>
          <w:color w:val="000000"/>
        </w:rPr>
        <w:t>Joint Institute for Nuclear Research, Dubna, Moscow reg., 141980, Russia</w:t>
      </w:r>
    </w:p>
    <w:p w:rsidR="00000000" w:rsidRDefault="002072AC">
      <w:pPr>
        <w:jc w:val="center"/>
        <w:rPr>
          <w:rFonts w:eastAsia="Batang"/>
          <w:color w:val="0000FF"/>
          <w:sz w:val="36"/>
          <w:szCs w:val="36"/>
        </w:rPr>
      </w:pPr>
    </w:p>
    <w:p w:rsidR="00000000" w:rsidRDefault="002072AC">
      <w:pPr>
        <w:ind w:firstLine="720"/>
        <w:jc w:val="both"/>
        <w:rPr>
          <w:color w:val="000000"/>
        </w:rPr>
      </w:pPr>
      <w:r>
        <w:rPr>
          <w:rFonts w:eastAsia="MS PGothic"/>
          <w:color w:val="000000"/>
          <w:szCs w:val="32"/>
        </w:rPr>
        <w:t>Tracer-scale chemistry has some  distinguishing characteristics which differ it from common  (macro) chemistry. For example, the common redox reaction 2Pu(IV) + U(</w:t>
      </w:r>
      <w:r>
        <w:rPr>
          <w:rFonts w:eastAsia="MS PGothic"/>
          <w:color w:val="000000"/>
          <w:szCs w:val="32"/>
        </w:rPr>
        <w:t xml:space="preserve">IV) → 2Pu(III) + U(VI)  does not occur in extremely diluted solutions as collisions between microcomponents are practically excluded. Considerable differences in the chemical behavior micro- and macroquantities of some actinides in the gase phase had also </w:t>
      </w:r>
      <w:r>
        <w:rPr>
          <w:rFonts w:eastAsia="MS PGothic"/>
          <w:color w:val="000000"/>
          <w:szCs w:val="32"/>
        </w:rPr>
        <w:t>been observed. The initial sample containd a tracer quantity of the actinide under study that was adsorbed on the surface of quartz powder.</w:t>
      </w:r>
      <w:r>
        <w:rPr>
          <w:color w:val="000000"/>
        </w:rPr>
        <w:t xml:space="preserve"> The experiments were carried out using open quartz thermochromatographic columns (i.d. = 3 mm); oxygen served as a r</w:t>
      </w:r>
      <w:r>
        <w:rPr>
          <w:color w:val="000000"/>
        </w:rPr>
        <w:t>eagent and helium was a carrier gas; the flow rate of the gas mixture was 20 cm</w:t>
      </w:r>
      <w:r>
        <w:rPr>
          <w:color w:val="000000"/>
          <w:vertAlign w:val="superscript"/>
        </w:rPr>
        <w:t>3</w:t>
      </w:r>
      <w:r>
        <w:rPr>
          <w:color w:val="000000"/>
        </w:rPr>
        <w:t xml:space="preserve"> min</w:t>
      </w:r>
      <w:r>
        <w:rPr>
          <w:color w:val="000000"/>
          <w:vertAlign w:val="superscript"/>
        </w:rPr>
        <w:t>–1</w:t>
      </w:r>
      <w:r>
        <w:rPr>
          <w:color w:val="000000"/>
        </w:rPr>
        <w:t>; the initial sample was  heated in a gas stream at  700-750</w:t>
      </w:r>
      <w:r>
        <w:rPr>
          <w:color w:val="000000"/>
        </w:rPr>
        <w:t>˚C;  the  final  part of the thermal-gradient section  was cooled to –165˚C; the temperature gradient was –18˚C cm</w:t>
      </w:r>
      <w:r>
        <w:rPr>
          <w:color w:val="000000"/>
          <w:vertAlign w:val="superscript"/>
        </w:rPr>
        <w:t>-1</w:t>
      </w:r>
      <w:r>
        <w:rPr>
          <w:color w:val="000000"/>
        </w:rPr>
        <w:t>; the duration of each experiment was 30 min. It was found that uranium formed volatile dioxide and troioxide that were adsorbed at 450±25 a</w:t>
      </w:r>
      <w:r>
        <w:rPr>
          <w:color w:val="000000"/>
        </w:rPr>
        <w:t>nd</w:t>
      </w:r>
      <w:r>
        <w:rPr>
          <w:b/>
          <w:sz w:val="28"/>
          <w:szCs w:val="28"/>
        </w:rPr>
        <w:t xml:space="preserve"> </w:t>
      </w:r>
      <w:r>
        <w:rPr>
          <w:color w:val="000000"/>
        </w:rPr>
        <w:t xml:space="preserve">250±25˚C. Two plutonium radioisotopes </w:t>
      </w:r>
      <w:r>
        <w:rPr>
          <w:color w:val="000000"/>
          <w:vertAlign w:val="superscript"/>
        </w:rPr>
        <w:t>238,239</w:t>
      </w:r>
      <w:r>
        <w:rPr>
          <w:color w:val="000000"/>
        </w:rPr>
        <w:t>Pu were used in similar experiments. Contrary to the prevous results, plutonium formed three oxides. The centeres of their depozition zones were registered at 450±30˚C(PuO</w:t>
      </w:r>
      <w:r>
        <w:rPr>
          <w:color w:val="000000"/>
          <w:vertAlign w:val="subscript"/>
        </w:rPr>
        <w:t>2</w:t>
      </w:r>
      <w:r>
        <w:rPr>
          <w:color w:val="000000"/>
        </w:rPr>
        <w:t>),  250±30˚C(PuO</w:t>
      </w:r>
      <w:r>
        <w:rPr>
          <w:color w:val="000000"/>
          <w:vertAlign w:val="subscript"/>
        </w:rPr>
        <w:t>3</w:t>
      </w:r>
      <w:r>
        <w:rPr>
          <w:color w:val="000000"/>
        </w:rPr>
        <w:t>) and at  –105±25˚C</w:t>
      </w:r>
      <w:r>
        <w:rPr>
          <w:color w:val="000000"/>
        </w:rPr>
        <w:t>(PuO</w:t>
      </w:r>
      <w:r>
        <w:rPr>
          <w:color w:val="000000"/>
          <w:vertAlign w:val="subscript"/>
        </w:rPr>
        <w:t>4</w:t>
      </w:r>
      <w:r>
        <w:rPr>
          <w:color w:val="000000"/>
        </w:rPr>
        <w:t>). In similar conditions, Cm formed also three oxides: CmO</w:t>
      </w:r>
      <w:r>
        <w:rPr>
          <w:color w:val="000000"/>
          <w:vertAlign w:val="subscript"/>
        </w:rPr>
        <w:t>2</w:t>
      </w:r>
      <w:r>
        <w:rPr>
          <w:color w:val="000000"/>
        </w:rPr>
        <w:t>, CmO</w:t>
      </w:r>
      <w:r>
        <w:rPr>
          <w:color w:val="000000"/>
          <w:vertAlign w:val="subscript"/>
        </w:rPr>
        <w:t>3</w:t>
      </w:r>
      <w:r>
        <w:rPr>
          <w:color w:val="000000"/>
        </w:rPr>
        <w:t xml:space="preserve"> and CmO</w:t>
      </w:r>
      <w:r>
        <w:rPr>
          <w:color w:val="000000"/>
          <w:vertAlign w:val="subscript"/>
        </w:rPr>
        <w:t>4</w:t>
      </w:r>
      <w:r>
        <w:rPr>
          <w:color w:val="000000"/>
        </w:rPr>
        <w:t xml:space="preserve">. They were adsorbed at 550±25, 390±25 and  –80±50˚C respectively. The values of adsorption enthalpy for these oxides on </w:t>
      </w:r>
      <w:r>
        <w:rPr>
          <w:rFonts w:eastAsia="MS PGothic"/>
          <w:color w:val="000000"/>
          <w:szCs w:val="32"/>
        </w:rPr>
        <w:t>quartz</w:t>
      </w:r>
      <w:r>
        <w:rPr>
          <w:color w:val="000000"/>
        </w:rPr>
        <w:t xml:space="preserve"> and their chemical yields were determined.</w:t>
      </w:r>
    </w:p>
    <w:p w:rsidR="00000000" w:rsidRDefault="002072AC">
      <w:pPr>
        <w:jc w:val="both"/>
        <w:rPr>
          <w:color w:val="000000"/>
        </w:rPr>
      </w:pPr>
    </w:p>
    <w:p w:rsidR="00000000" w:rsidRDefault="002072AC">
      <w:pPr>
        <w:jc w:val="both"/>
        <w:rPr>
          <w:b/>
        </w:rPr>
      </w:pPr>
      <w:r>
        <w:rPr>
          <w:b/>
        </w:rPr>
        <w:t>Biogr</w:t>
      </w:r>
      <w:r>
        <w:rPr>
          <w:b/>
        </w:rPr>
        <w:t>aphy</w:t>
      </w:r>
    </w:p>
    <w:p w:rsidR="00000000" w:rsidRDefault="002072AC">
      <w:pPr>
        <w:jc w:val="both"/>
        <w:rPr>
          <w:b/>
        </w:rPr>
      </w:pPr>
    </w:p>
    <w:p w:rsidR="00000000" w:rsidRDefault="002072AC">
      <w:pPr>
        <w:jc w:val="both"/>
      </w:pPr>
      <w:r>
        <w:t>Domanov completed Moscow Chemical-Technological Mendeleev Institute at the age of 25 years.</w:t>
      </w:r>
    </w:p>
    <w:p w:rsidR="00000000" w:rsidRDefault="002072AC">
      <w:pPr>
        <w:jc w:val="both"/>
        <w:rPr>
          <w:rFonts w:eastAsia="MS PGothic"/>
          <w:b/>
          <w:color w:val="000000"/>
          <w:szCs w:val="32"/>
        </w:rPr>
      </w:pPr>
      <w:r>
        <w:t xml:space="preserve">On graduation this Institute, he began to work in JINR on the post of a probationer-investigator. After 2 years, he got the post of a junior research worker. </w:t>
      </w:r>
      <w:r>
        <w:t>He defended a thesis in the year 1985.   He got the post of senior scientific researcher in the year 1990.  He has published about 100   papers in reputed journals and in scientific issues. Domanov has 13 author’s certificates (Soviet Patents) and 3 Patent</w:t>
      </w:r>
      <w:r>
        <w:t>s of RF.</w:t>
      </w:r>
      <w:r>
        <w:tab/>
      </w:r>
      <w:r>
        <w:br/>
      </w:r>
    </w:p>
    <w:p w:rsidR="00000000" w:rsidRDefault="002072AC">
      <w:pPr>
        <w:autoSpaceDE w:val="0"/>
        <w:autoSpaceDN w:val="0"/>
        <w:adjustRightInd w:val="0"/>
        <w:rPr>
          <w:b/>
          <w:lang w:val="en-NZ"/>
        </w:rPr>
      </w:pPr>
      <w:r>
        <w:rPr>
          <w:b/>
          <w:lang w:val="en-NZ"/>
        </w:rPr>
        <w:t xml:space="preserve">Presenting author details </w:t>
      </w:r>
      <w:r>
        <w:rPr>
          <w:b/>
          <w:lang w:val="en-NZ"/>
        </w:rPr>
        <w:br/>
      </w:r>
      <w:r>
        <w:rPr>
          <w:lang w:val="en-NZ"/>
        </w:rPr>
        <w:t xml:space="preserve">Full name: Vladimir </w:t>
      </w:r>
      <w:proofErr w:type="spellStart"/>
      <w:r w:rsidR="00AD1D57">
        <w:rPr>
          <w:lang w:val="en-NZ"/>
        </w:rPr>
        <w:t>Panteleimonovich</w:t>
      </w:r>
      <w:proofErr w:type="spellEnd"/>
      <w:r w:rsidR="00AD1D57">
        <w:rPr>
          <w:lang w:val="en-NZ"/>
        </w:rPr>
        <w:t xml:space="preserve"> </w:t>
      </w:r>
      <w:proofErr w:type="spellStart"/>
      <w:r>
        <w:rPr>
          <w:lang w:val="en-NZ"/>
        </w:rPr>
        <w:t>Domanov</w:t>
      </w:r>
      <w:proofErr w:type="spellEnd"/>
      <w:r>
        <w:rPr>
          <w:lang w:val="en-NZ"/>
        </w:rPr>
        <w:br/>
        <w:t>Contact number:</w:t>
      </w:r>
      <w:r w:rsidR="00AD1D57">
        <w:rPr>
          <w:lang w:val="en-NZ"/>
        </w:rPr>
        <w:t xml:space="preserve"> +7 (09621) 63431</w:t>
      </w:r>
      <w:r>
        <w:rPr>
          <w:lang w:val="en-NZ"/>
        </w:rPr>
        <w:br/>
        <w:t>Twitter account:</w:t>
      </w:r>
      <w:r w:rsidR="00AD1D57">
        <w:rPr>
          <w:lang w:val="en-NZ"/>
        </w:rPr>
        <w:t xml:space="preserve"> ---</w:t>
      </w:r>
      <w:r>
        <w:rPr>
          <w:lang w:val="en-NZ"/>
        </w:rPr>
        <w:br/>
        <w:t>Linked In account:</w:t>
      </w:r>
      <w:r w:rsidR="00AD1D57">
        <w:rPr>
          <w:lang w:val="en-NZ"/>
        </w:rPr>
        <w:t xml:space="preserve"> ---</w:t>
      </w:r>
    </w:p>
    <w:p w:rsidR="00000000" w:rsidRDefault="002072AC">
      <w:pPr>
        <w:autoSpaceDE w:val="0"/>
        <w:autoSpaceDN w:val="0"/>
        <w:adjustRightInd w:val="0"/>
        <w:rPr>
          <w:lang w:val="en-NZ"/>
        </w:rPr>
      </w:pPr>
      <w:r>
        <w:rPr>
          <w:lang w:val="en-NZ"/>
        </w:rPr>
        <w:t>Session name/ number:</w:t>
      </w:r>
      <w:r w:rsidR="00AD1D57">
        <w:rPr>
          <w:lang w:val="en-NZ"/>
        </w:rPr>
        <w:t xml:space="preserve"> </w:t>
      </w:r>
      <w:r>
        <w:rPr>
          <w:lang w:val="en-NZ"/>
        </w:rPr>
        <w:t>Radiochemistry</w:t>
      </w:r>
      <w:r>
        <w:rPr>
          <w:lang w:val="en-NZ"/>
        </w:rPr>
        <w:br/>
        <w:t xml:space="preserve">Category: </w:t>
      </w:r>
      <w:proofErr w:type="gramStart"/>
      <w:r>
        <w:rPr>
          <w:lang w:val="en-NZ"/>
        </w:rPr>
        <w:t xml:space="preserve">Oral </w:t>
      </w:r>
      <w:r>
        <w:rPr>
          <w:lang w:val="en-NZ"/>
        </w:rPr>
        <w:t xml:space="preserve"> presentation</w:t>
      </w:r>
      <w:proofErr w:type="gramEnd"/>
      <w:r>
        <w:rPr>
          <w:lang w:val="en-NZ"/>
        </w:rPr>
        <w:br/>
      </w:r>
    </w:p>
    <w:p w:rsidR="00000000" w:rsidRDefault="002072AC">
      <w:pPr>
        <w:autoSpaceDE w:val="0"/>
        <w:autoSpaceDN w:val="0"/>
        <w:adjustRightInd w:val="0"/>
        <w:rPr>
          <w:lang w:val="en-NZ"/>
        </w:rPr>
      </w:pPr>
    </w:p>
    <w:p w:rsidR="00000000" w:rsidRDefault="002072AC">
      <w:pPr>
        <w:jc w:val="both"/>
        <w:rPr>
          <w:lang w:val="en-NZ"/>
        </w:rPr>
      </w:pPr>
    </w:p>
    <w:sectPr w:rsidR="00000000">
      <w:headerReference w:type="even" r:id="rId8"/>
      <w:headerReference w:type="default" r:id="rId9"/>
      <w:footerReference w:type="even" r:id="rId10"/>
      <w:footerReference w:type="default" r:id="rId11"/>
      <w:headerReference w:type="first" r:id="rId12"/>
      <w:footerReference w:type="first" r:id="rId13"/>
      <w:pgSz w:w="11906" w:h="16838"/>
      <w:pgMar w:top="85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2072AC">
      <w:r>
        <w:separator/>
      </w:r>
    </w:p>
  </w:endnote>
  <w:endnote w:type="continuationSeparator" w:id="0">
    <w:p w:rsidR="00000000" w:rsidRDefault="002072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Gautami">
    <w:panose1 w:val="02000500000000000000"/>
    <w:charset w:val="00"/>
    <w:family w:val="auto"/>
    <w:pitch w:val="variable"/>
    <w:sig w:usb0="002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MS PGothic">
    <w:charset w:val="80"/>
    <w:family w:val="swiss"/>
    <w:pitch w:val="variable"/>
    <w:sig w:usb0="E00002FF" w:usb1="6AC7FDFB" w:usb2="00000012" w:usb3="00000000" w:csb0="000200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072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072AC">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072A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2072AC">
      <w:r>
        <w:separator/>
      </w:r>
    </w:p>
  </w:footnote>
  <w:footnote w:type="continuationSeparator" w:id="0">
    <w:p w:rsidR="00000000" w:rsidRDefault="002072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072AC">
    <w:pPr>
      <w:pStyle w:val="a8"/>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072AC">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072A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removePersonalInformation/>
  <w:removeDateAndTime/>
  <w:hideSpellingErrors/>
  <w:hideGrammaticalErrors/>
  <w:proofState w:spelling="clean" w:grammar="clean"/>
  <w:doNotTrackMoves/>
  <w:defaultTabStop w:val="708"/>
  <w:hyphenationZone w:val="283"/>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1A3D"/>
    <w:rsid w:val="002072AC"/>
    <w:rsid w:val="00281A3D"/>
    <w:rsid w:val="00AD1D5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it-IT" w:eastAsia="it-IT"/>
    </w:rPr>
  </w:style>
  <w:style w:type="paragraph" w:styleId="1">
    <w:name w:val="heading 1"/>
    <w:aliases w:val="title"/>
    <w:basedOn w:val="a"/>
    <w:next w:val="a"/>
    <w:qFormat/>
    <w:pPr>
      <w:keepNext/>
      <w:jc w:val="center"/>
      <w:outlineLvl w:val="0"/>
    </w:pPr>
    <w:rPr>
      <w:rFonts w:ascii="Cambria" w:hAnsi="Cambria" w:cs="Gautami"/>
      <w:b/>
      <w:bCs/>
      <w:kern w:val="32"/>
      <w:sz w:val="32"/>
      <w:szCs w:val="32"/>
      <w:lang w:bidi="te-IN"/>
    </w:rPr>
  </w:style>
  <w:style w:type="paragraph" w:styleId="3">
    <w:name w:val="heading 3"/>
    <w:aliases w:val="Authors"/>
    <w:basedOn w:val="a"/>
    <w:next w:val="a"/>
    <w:qFormat/>
    <w:pPr>
      <w:keepNext/>
      <w:spacing w:before="240" w:after="60"/>
      <w:outlineLvl w:val="2"/>
    </w:pPr>
    <w:rPr>
      <w:rFonts w:ascii="Cambria" w:hAnsi="Cambria" w:cs="Gautami"/>
      <w:b/>
      <w:bCs/>
      <w:sz w:val="26"/>
      <w:szCs w:val="26"/>
      <w:lang w:bidi="te-IN"/>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title Char"/>
    <w:rPr>
      <w:rFonts w:ascii="Cambria" w:eastAsia="Times New Roman" w:hAnsi="Cambria" w:cs="Times New Roman"/>
      <w:b/>
      <w:bCs/>
      <w:kern w:val="32"/>
      <w:sz w:val="32"/>
      <w:szCs w:val="32"/>
    </w:rPr>
  </w:style>
  <w:style w:type="character" w:customStyle="1" w:styleId="Heading3Char">
    <w:name w:val="Heading 3 Char"/>
    <w:aliases w:val="Authors Char"/>
    <w:semiHidden/>
    <w:rPr>
      <w:rFonts w:ascii="Cambria" w:eastAsia="Times New Roman" w:hAnsi="Cambria" w:cs="Times New Roman"/>
      <w:b/>
      <w:bCs/>
      <w:sz w:val="26"/>
      <w:szCs w:val="26"/>
    </w:rPr>
  </w:style>
  <w:style w:type="character" w:styleId="a3">
    <w:name w:val="Hyperlink"/>
    <w:semiHidden/>
    <w:rPr>
      <w:rFonts w:cs="Times New Roman"/>
      <w:color w:val="0000FF"/>
      <w:u w:val="single"/>
    </w:rPr>
  </w:style>
  <w:style w:type="paragraph" w:styleId="a4">
    <w:name w:val="Body Text"/>
    <w:basedOn w:val="a"/>
    <w:semiHidden/>
    <w:pPr>
      <w:suppressAutoHyphens/>
      <w:jc w:val="center"/>
    </w:pPr>
    <w:rPr>
      <w:rFonts w:cs="Gautami"/>
      <w:lang w:bidi="te-IN"/>
    </w:rPr>
  </w:style>
  <w:style w:type="character" w:customStyle="1" w:styleId="BodyTextChar">
    <w:name w:val="Body Text Char"/>
    <w:semiHidden/>
    <w:rPr>
      <w:sz w:val="24"/>
      <w:szCs w:val="24"/>
    </w:rPr>
  </w:style>
  <w:style w:type="character" w:styleId="a5">
    <w:name w:val="annotation reference"/>
    <w:semiHidden/>
    <w:rPr>
      <w:rFonts w:cs="Times New Roman"/>
      <w:sz w:val="16"/>
      <w:szCs w:val="16"/>
    </w:rPr>
  </w:style>
  <w:style w:type="paragraph" w:styleId="a6">
    <w:name w:val="annotation text"/>
    <w:basedOn w:val="a"/>
    <w:semiHidden/>
    <w:rPr>
      <w:rFonts w:cs="Gautami"/>
      <w:sz w:val="20"/>
      <w:szCs w:val="20"/>
      <w:lang w:bidi="te-IN"/>
    </w:rPr>
  </w:style>
  <w:style w:type="character" w:customStyle="1" w:styleId="CommentTextChar">
    <w:name w:val="Comment Text Char"/>
    <w:semiHidden/>
    <w:rPr>
      <w:sz w:val="20"/>
      <w:szCs w:val="20"/>
    </w:rPr>
  </w:style>
  <w:style w:type="paragraph" w:customStyle="1" w:styleId="CommentSubject">
    <w:name w:val="Comment Subject"/>
    <w:basedOn w:val="a6"/>
    <w:next w:val="a6"/>
    <w:semiHidden/>
    <w:rPr>
      <w:b/>
      <w:bCs/>
    </w:rPr>
  </w:style>
  <w:style w:type="character" w:customStyle="1" w:styleId="CommentSubjectChar">
    <w:name w:val="Comment Subject Char"/>
    <w:semiHidden/>
    <w:rPr>
      <w:b/>
      <w:bCs/>
      <w:sz w:val="20"/>
      <w:szCs w:val="20"/>
    </w:rPr>
  </w:style>
  <w:style w:type="paragraph" w:customStyle="1" w:styleId="BalloonText">
    <w:name w:val="Balloon Text"/>
    <w:basedOn w:val="a"/>
    <w:semiHidden/>
    <w:rPr>
      <w:rFonts w:ascii="Tahoma" w:hAnsi="Tahoma" w:cs="Gautami"/>
      <w:sz w:val="16"/>
      <w:szCs w:val="16"/>
      <w:lang w:bidi="te-IN"/>
    </w:rPr>
  </w:style>
  <w:style w:type="character" w:customStyle="1" w:styleId="BalloonTextChar">
    <w:name w:val="Balloon Text Char"/>
    <w:semiHidden/>
    <w:rPr>
      <w:rFonts w:ascii="Tahoma" w:hAnsi="Tahoma" w:cs="Tahoma"/>
      <w:sz w:val="16"/>
      <w:szCs w:val="16"/>
    </w:rPr>
  </w:style>
  <w:style w:type="paragraph" w:styleId="a7">
    <w:name w:val="Body Text Indent"/>
    <w:basedOn w:val="a"/>
    <w:semiHidden/>
    <w:pPr>
      <w:spacing w:after="120"/>
      <w:ind w:left="283"/>
    </w:pPr>
    <w:rPr>
      <w:rFonts w:cs="Gautami"/>
      <w:lang w:bidi="te-IN"/>
    </w:rPr>
  </w:style>
  <w:style w:type="character" w:customStyle="1" w:styleId="BodyTextIndentChar">
    <w:name w:val="Body Text Indent Char"/>
    <w:semiHidden/>
    <w:rPr>
      <w:sz w:val="24"/>
      <w:szCs w:val="24"/>
    </w:rPr>
  </w:style>
  <w:style w:type="paragraph" w:styleId="a8">
    <w:name w:val="header"/>
    <w:basedOn w:val="a"/>
    <w:semiHidden/>
    <w:unhideWhenUsed/>
    <w:pPr>
      <w:tabs>
        <w:tab w:val="center" w:pos="4819"/>
        <w:tab w:val="right" w:pos="9638"/>
      </w:tabs>
    </w:pPr>
    <w:rPr>
      <w:rFonts w:cs="Gautami"/>
      <w:lang w:bidi="te-IN"/>
    </w:rPr>
  </w:style>
  <w:style w:type="character" w:customStyle="1" w:styleId="HeaderChar">
    <w:name w:val="Header Char"/>
    <w:rPr>
      <w:sz w:val="24"/>
      <w:szCs w:val="24"/>
    </w:rPr>
  </w:style>
  <w:style w:type="paragraph" w:styleId="a9">
    <w:name w:val="footer"/>
    <w:basedOn w:val="a"/>
    <w:semiHidden/>
    <w:unhideWhenUsed/>
    <w:pPr>
      <w:tabs>
        <w:tab w:val="center" w:pos="4819"/>
        <w:tab w:val="right" w:pos="9638"/>
      </w:tabs>
    </w:pPr>
    <w:rPr>
      <w:rFonts w:cs="Gautami"/>
      <w:lang w:bidi="te-IN"/>
    </w:rPr>
  </w:style>
  <w:style w:type="character" w:customStyle="1" w:styleId="FooterChar">
    <w:name w:val="Footer Char"/>
    <w:semiHidden/>
    <w:rPr>
      <w:sz w:val="24"/>
      <w:szCs w:val="24"/>
    </w:rPr>
  </w:style>
  <w:style w:type="paragraph" w:customStyle="1" w:styleId="xmsonormal">
    <w:name w:val="x_msonormal"/>
    <w:basedOn w:val="a"/>
  </w:style>
  <w:style w:type="paragraph" w:styleId="aa">
    <w:name w:val="Normal (Web)"/>
    <w:basedOn w:val="a"/>
    <w:semiHidden/>
  </w:style>
  <w:style w:type="paragraph" w:customStyle="1" w:styleId="xmsonormal0">
    <w:name w:val="xmsonormal"/>
    <w:basedOn w:val="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379</Words>
  <Characters>2293</Characters>
  <Application>Microsoft Office Word</Application>
  <DocSecurity>0</DocSecurity>
  <Lines>19</Lines>
  <Paragraphs>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lpstr>
      <vt:lpstr> </vt:lpstr>
    </vt:vector>
  </TitlesOfParts>
  <Manager/>
  <Company/>
  <LinksUpToDate>false</LinksUpToDate>
  <CharactersWithSpaces>2667</CharactersWithSpaces>
  <SharedDoc>false</SharedDoc>
  <HLinks>
    <vt:vector size="6" baseType="variant">
      <vt:variant>
        <vt:i4>1572873</vt:i4>
      </vt:variant>
      <vt:variant>
        <vt:i4>1143</vt:i4>
      </vt:variant>
      <vt:variant>
        <vt:i4>1025</vt:i4>
      </vt:variant>
      <vt:variant>
        <vt:i4>1</vt:i4>
      </vt:variant>
      <vt:variant>
        <vt:lpwstr>dummy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cp:lastPrinted>2000-01-01T02:18:00Z</cp:lastPrinted>
  <dcterms:created xsi:type="dcterms:W3CDTF">2016-07-21T12:58:00Z</dcterms:created>
  <dcterms:modified xsi:type="dcterms:W3CDTF">2016-07-21T13:19:00Z</dcterms:modified>
</cp:coreProperties>
</file>