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2F2" w:rsidRDefault="00552A1A" w:rsidP="00552A1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eastAsia="MS PGothic"/>
          <w:b/>
          <w:color w:val="000000"/>
          <w:sz w:val="28"/>
          <w:szCs w:val="28"/>
        </w:rPr>
        <w:t>Title:</w:t>
      </w:r>
      <w:r>
        <w:rPr>
          <w:rFonts w:eastAsia="MS PGothic"/>
          <w:b/>
          <w:color w:val="000000"/>
          <w:sz w:val="28"/>
          <w:szCs w:val="28"/>
        </w:rPr>
        <w:t xml:space="preserve"> </w:t>
      </w:r>
      <w:r w:rsidR="002702F2" w:rsidRPr="002702F2">
        <w:rPr>
          <w:rFonts w:asciiTheme="majorBidi" w:hAnsiTheme="majorBidi" w:cstheme="majorBidi"/>
          <w:sz w:val="32"/>
          <w:szCs w:val="32"/>
        </w:rPr>
        <w:t xml:space="preserve">Could </w:t>
      </w:r>
      <w:r w:rsidR="002702F2" w:rsidRPr="002702F2">
        <w:rPr>
          <w:rFonts w:asciiTheme="majorBidi" w:hAnsiTheme="majorBidi" w:cstheme="majorBidi"/>
          <w:sz w:val="32"/>
          <w:szCs w:val="32"/>
        </w:rPr>
        <w:t>linagliptin</w:t>
      </w:r>
      <w:r w:rsidR="002702F2" w:rsidRPr="002702F2">
        <w:rPr>
          <w:rFonts w:asciiTheme="majorBidi" w:hAnsiTheme="majorBidi" w:cstheme="majorBidi"/>
          <w:sz w:val="32"/>
          <w:szCs w:val="32"/>
        </w:rPr>
        <w:t xml:space="preserve"> exert </w:t>
      </w:r>
      <w:r w:rsidR="002702F2" w:rsidRPr="002702F2">
        <w:rPr>
          <w:rFonts w:asciiTheme="majorBidi" w:hAnsiTheme="majorBidi" w:cstheme="majorBidi"/>
          <w:sz w:val="32"/>
          <w:szCs w:val="32"/>
        </w:rPr>
        <w:t>Neuroprotective effect</w:t>
      </w:r>
      <w:r w:rsidR="002702F2" w:rsidRPr="002702F2">
        <w:rPr>
          <w:rFonts w:asciiTheme="majorBidi" w:hAnsiTheme="majorBidi" w:cstheme="majorBidi"/>
          <w:sz w:val="32"/>
          <w:szCs w:val="32"/>
        </w:rPr>
        <w:t xml:space="preserve"> </w:t>
      </w:r>
      <w:r>
        <w:rPr>
          <w:rFonts w:asciiTheme="majorBidi" w:hAnsiTheme="majorBidi" w:cstheme="majorBidi"/>
          <w:sz w:val="32"/>
          <w:szCs w:val="32"/>
        </w:rPr>
        <w:t xml:space="preserve">against cuprizone-induced </w:t>
      </w:r>
      <w:r w:rsidR="002702F2" w:rsidRPr="002702F2">
        <w:rPr>
          <w:rFonts w:asciiTheme="majorBidi" w:hAnsiTheme="majorBidi" w:cstheme="majorBidi"/>
          <w:sz w:val="32"/>
          <w:szCs w:val="32"/>
        </w:rPr>
        <w:t xml:space="preserve">demyelination and </w:t>
      </w:r>
      <w:proofErr w:type="spellStart"/>
      <w:r w:rsidR="002702F2" w:rsidRPr="002702F2">
        <w:rPr>
          <w:rFonts w:asciiTheme="majorBidi" w:hAnsiTheme="majorBidi" w:cstheme="majorBidi"/>
          <w:sz w:val="32"/>
          <w:szCs w:val="32"/>
        </w:rPr>
        <w:t>behavioural</w:t>
      </w:r>
      <w:proofErr w:type="spellEnd"/>
      <w:r w:rsidR="002702F2" w:rsidRPr="002702F2">
        <w:rPr>
          <w:rFonts w:asciiTheme="majorBidi" w:hAnsiTheme="majorBidi" w:cstheme="majorBidi"/>
          <w:sz w:val="32"/>
          <w:szCs w:val="32"/>
        </w:rPr>
        <w:t xml:space="preserve"> dysfunction in mice?</w:t>
      </w:r>
    </w:p>
    <w:p w:rsidR="00552A1A" w:rsidRDefault="00552A1A" w:rsidP="00552A1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552A1A" w:rsidRDefault="00552A1A" w:rsidP="00552A1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  <w:r w:rsidRPr="00552A1A">
        <w:rPr>
          <w:rFonts w:asciiTheme="majorBidi" w:hAnsiTheme="majorBidi" w:cstheme="majorBidi"/>
          <w:sz w:val="28"/>
          <w:szCs w:val="28"/>
        </w:rPr>
        <w:t xml:space="preserve">Name: </w:t>
      </w:r>
      <w:proofErr w:type="spellStart"/>
      <w:r w:rsidRPr="00552A1A">
        <w:rPr>
          <w:rFonts w:asciiTheme="majorBidi" w:hAnsiTheme="majorBidi" w:cstheme="majorBidi"/>
          <w:sz w:val="28"/>
          <w:szCs w:val="28"/>
        </w:rPr>
        <w:t>Eman</w:t>
      </w:r>
      <w:proofErr w:type="spellEnd"/>
      <w:r w:rsidRPr="00552A1A">
        <w:rPr>
          <w:rFonts w:asciiTheme="majorBidi" w:hAnsiTheme="majorBidi" w:cstheme="majorBidi"/>
          <w:sz w:val="28"/>
          <w:szCs w:val="28"/>
        </w:rPr>
        <w:t xml:space="preserve"> Maher </w:t>
      </w:r>
      <w:proofErr w:type="spellStart"/>
      <w:r w:rsidRPr="00552A1A">
        <w:rPr>
          <w:rFonts w:asciiTheme="majorBidi" w:hAnsiTheme="majorBidi" w:cstheme="majorBidi"/>
          <w:sz w:val="28"/>
          <w:szCs w:val="28"/>
        </w:rPr>
        <w:t>Elbaz</w:t>
      </w:r>
      <w:proofErr w:type="spellEnd"/>
    </w:p>
    <w:p w:rsidR="00552A1A" w:rsidRPr="00552A1A" w:rsidRDefault="00552A1A" w:rsidP="00552A1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552A1A" w:rsidRPr="00552A1A" w:rsidRDefault="00552A1A" w:rsidP="00552A1A">
      <w:pPr>
        <w:autoSpaceDE w:val="0"/>
        <w:autoSpaceDN w:val="0"/>
        <w:adjustRightInd w:val="0"/>
        <w:spacing w:after="0" w:line="240" w:lineRule="auto"/>
        <w:jc w:val="center"/>
        <w:rPr>
          <w:rFonts w:asciiTheme="majorBidi" w:hAnsiTheme="majorBidi" w:cstheme="majorBidi"/>
          <w:sz w:val="20"/>
          <w:szCs w:val="20"/>
        </w:rPr>
      </w:pPr>
      <w:r w:rsidRPr="00552A1A">
        <w:rPr>
          <w:rFonts w:asciiTheme="majorBidi" w:hAnsiTheme="majorBidi" w:cstheme="majorBidi"/>
          <w:sz w:val="20"/>
          <w:szCs w:val="20"/>
        </w:rPr>
        <w:t>Department of Biochemistry, Faculty of Pharmacy, Cairo University, Cairo, Egypt</w:t>
      </w:r>
    </w:p>
    <w:p w:rsidR="00552A1A" w:rsidRDefault="00552A1A" w:rsidP="00552A1A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:rsidR="002702F2" w:rsidRDefault="00552A1A" w:rsidP="00552A1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       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Multiple sclerosis is a chronic inflammatory demyelinating </w:t>
      </w:r>
      <w:r w:rsidR="005B44B9">
        <w:rPr>
          <w:rFonts w:asciiTheme="majorBidi" w:hAnsiTheme="majorBidi" w:cstheme="majorBidi"/>
          <w:sz w:val="24"/>
          <w:szCs w:val="24"/>
        </w:rPr>
        <w:t xml:space="preserve">disorder of the </w:t>
      </w:r>
      <w:r>
        <w:rPr>
          <w:rFonts w:asciiTheme="majorBidi" w:hAnsiTheme="majorBidi" w:cstheme="majorBidi"/>
          <w:sz w:val="24"/>
          <w:szCs w:val="24"/>
        </w:rPr>
        <w:t xml:space="preserve">central nervous system. </w:t>
      </w:r>
      <w:r w:rsidR="002702F2" w:rsidRPr="002702F2">
        <w:rPr>
          <w:rFonts w:asciiTheme="majorBidi" w:hAnsiTheme="majorBidi" w:cstheme="majorBidi"/>
          <w:sz w:val="24"/>
          <w:szCs w:val="24"/>
        </w:rPr>
        <w:t>Linagliptin, a dipeptidyl peptidase-4 inhibitor, recently sh</w:t>
      </w:r>
      <w:r w:rsidR="002702F2">
        <w:rPr>
          <w:rFonts w:asciiTheme="majorBidi" w:hAnsiTheme="majorBidi" w:cstheme="majorBidi"/>
          <w:sz w:val="24"/>
          <w:szCs w:val="24"/>
        </w:rPr>
        <w:t xml:space="preserve">owed neuroprotective properties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against neurodegenerative diseases. </w:t>
      </w:r>
      <w:r w:rsidR="005B44B9">
        <w:rPr>
          <w:rFonts w:asciiTheme="majorBidi" w:hAnsiTheme="majorBidi" w:cstheme="majorBidi"/>
          <w:sz w:val="24"/>
          <w:szCs w:val="24"/>
        </w:rPr>
        <w:t>This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study </w:t>
      </w:r>
      <w:r w:rsidR="002702F2">
        <w:rPr>
          <w:rFonts w:asciiTheme="majorBidi" w:hAnsiTheme="majorBidi" w:cstheme="majorBidi"/>
          <w:sz w:val="24"/>
          <w:szCs w:val="24"/>
        </w:rPr>
        <w:t>aimed to investigate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the possible neuroprotective eff</w:t>
      </w:r>
      <w:r w:rsidR="002702F2">
        <w:rPr>
          <w:rFonts w:asciiTheme="majorBidi" w:hAnsiTheme="majorBidi" w:cstheme="majorBidi"/>
          <w:sz w:val="24"/>
          <w:szCs w:val="24"/>
        </w:rPr>
        <w:t xml:space="preserve">ect of linagliptin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against cuprizone-induced demyelination in mice and its </w:t>
      </w:r>
      <w:r w:rsidR="005B44B9" w:rsidRPr="002702F2">
        <w:rPr>
          <w:rFonts w:asciiTheme="majorBidi" w:hAnsiTheme="majorBidi" w:cstheme="majorBidi"/>
          <w:sz w:val="24"/>
          <w:szCs w:val="24"/>
        </w:rPr>
        <w:t>possible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early-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remyeli</w:t>
      </w:r>
      <w:r w:rsidR="002702F2">
        <w:rPr>
          <w:rFonts w:asciiTheme="majorBidi" w:hAnsiTheme="majorBidi" w:cstheme="majorBidi"/>
          <w:sz w:val="24"/>
          <w:szCs w:val="24"/>
        </w:rPr>
        <w:t>nating</w:t>
      </w:r>
      <w:proofErr w:type="spellEnd"/>
      <w:r w:rsidR="002702F2">
        <w:rPr>
          <w:rFonts w:asciiTheme="majorBidi" w:hAnsiTheme="majorBidi" w:cstheme="majorBidi"/>
          <w:sz w:val="24"/>
          <w:szCs w:val="24"/>
        </w:rPr>
        <w:t xml:space="preserve"> properties. C57Bl/6 mice </w:t>
      </w:r>
      <w:r w:rsidR="002702F2" w:rsidRPr="002702F2">
        <w:rPr>
          <w:rFonts w:asciiTheme="majorBidi" w:hAnsiTheme="majorBidi" w:cstheme="majorBidi"/>
          <w:sz w:val="24"/>
          <w:szCs w:val="24"/>
        </w:rPr>
        <w:t>were fed chow containing 0.7% cuprizone for 1 week, followed by 3 weeks of a 0.2% cuprizone diet. Lin</w:t>
      </w:r>
      <w:r w:rsidR="002702F2">
        <w:rPr>
          <w:rFonts w:asciiTheme="majorBidi" w:hAnsiTheme="majorBidi" w:cstheme="majorBidi"/>
          <w:sz w:val="24"/>
          <w:szCs w:val="24"/>
        </w:rPr>
        <w:t xml:space="preserve">agliptin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(10 mg/kg/day, 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p.o.</w:t>
      </w:r>
      <w:proofErr w:type="spellEnd"/>
      <w:r w:rsidR="002702F2" w:rsidRPr="002702F2">
        <w:rPr>
          <w:rFonts w:asciiTheme="majorBidi" w:hAnsiTheme="majorBidi" w:cstheme="majorBidi"/>
          <w:sz w:val="24"/>
          <w:szCs w:val="24"/>
        </w:rPr>
        <w:t>) was given for 3 weeks starting from the second week.</w:t>
      </w:r>
      <w:r w:rsidR="002702F2">
        <w:rPr>
          <w:rFonts w:asciiTheme="majorBidi" w:hAnsiTheme="majorBidi" w:cstheme="majorBidi"/>
          <w:sz w:val="24"/>
          <w:szCs w:val="24"/>
        </w:rPr>
        <w:t xml:space="preserve"> </w:t>
      </w:r>
      <w:r w:rsidR="005B44B9">
        <w:rPr>
          <w:rFonts w:asciiTheme="majorBidi" w:hAnsiTheme="majorBidi" w:cstheme="majorBidi"/>
          <w:sz w:val="24"/>
          <w:szCs w:val="24"/>
        </w:rPr>
        <w:t xml:space="preserve">Results showed that, </w:t>
      </w:r>
      <w:r w:rsidR="00B37451">
        <w:rPr>
          <w:rFonts w:asciiTheme="majorBidi" w:hAnsiTheme="majorBidi" w:cstheme="majorBidi"/>
          <w:sz w:val="24"/>
          <w:szCs w:val="24"/>
        </w:rPr>
        <w:t>l</w:t>
      </w:r>
      <w:r w:rsidR="002702F2">
        <w:rPr>
          <w:rFonts w:asciiTheme="majorBidi" w:hAnsiTheme="majorBidi" w:cstheme="majorBidi"/>
          <w:sz w:val="24"/>
          <w:szCs w:val="24"/>
        </w:rPr>
        <w:t xml:space="preserve">inagliptin treatment amended 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behavioural</w:t>
      </w:r>
      <w:proofErr w:type="spellEnd"/>
      <w:r w:rsidR="002702F2" w:rsidRPr="002702F2">
        <w:rPr>
          <w:rFonts w:asciiTheme="majorBidi" w:hAnsiTheme="majorBidi" w:cstheme="majorBidi"/>
          <w:sz w:val="24"/>
          <w:szCs w:val="24"/>
        </w:rPr>
        <w:t xml:space="preserve"> and motor </w:t>
      </w:r>
      <w:r w:rsidR="002702F2" w:rsidRPr="002702F2">
        <w:rPr>
          <w:rFonts w:asciiTheme="majorBidi" w:hAnsiTheme="majorBidi" w:cstheme="majorBidi"/>
          <w:sz w:val="24"/>
          <w:szCs w:val="24"/>
        </w:rPr>
        <w:t>aberrations</w:t>
      </w:r>
      <w:r w:rsidR="00B37451">
        <w:rPr>
          <w:rFonts w:asciiTheme="majorBidi" w:hAnsiTheme="majorBidi" w:cstheme="majorBidi"/>
          <w:sz w:val="24"/>
          <w:szCs w:val="24"/>
        </w:rPr>
        <w:t xml:space="preserve"> induced by cuprizone.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In </w:t>
      </w:r>
      <w:r w:rsidR="00B37451">
        <w:rPr>
          <w:rFonts w:asciiTheme="majorBidi" w:hAnsiTheme="majorBidi" w:cstheme="majorBidi"/>
          <w:sz w:val="24"/>
          <w:szCs w:val="24"/>
        </w:rPr>
        <w:t>addition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, linagliptin </w:t>
      </w:r>
      <w:r w:rsidR="005B44B9">
        <w:rPr>
          <w:rFonts w:asciiTheme="majorBidi" w:hAnsiTheme="majorBidi" w:cstheme="majorBidi"/>
          <w:sz w:val="24"/>
          <w:szCs w:val="24"/>
        </w:rPr>
        <w:t>weakened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the demyelination through enha</w:t>
      </w:r>
      <w:r w:rsidR="002702F2">
        <w:rPr>
          <w:rFonts w:asciiTheme="majorBidi" w:hAnsiTheme="majorBidi" w:cstheme="majorBidi"/>
          <w:sz w:val="24"/>
          <w:szCs w:val="24"/>
        </w:rPr>
        <w:t xml:space="preserve">ncing Olig2 gene expression, as </w:t>
      </w:r>
      <w:r w:rsidR="005B44B9">
        <w:rPr>
          <w:rFonts w:asciiTheme="majorBidi" w:hAnsiTheme="majorBidi" w:cstheme="majorBidi"/>
          <w:sz w:val="24"/>
          <w:szCs w:val="24"/>
        </w:rPr>
        <w:t>demonstrated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by increased myelin basic protein, myelin proteolipid protein levels and 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Luxo</w:t>
      </w:r>
      <w:r w:rsidR="002702F2">
        <w:rPr>
          <w:rFonts w:asciiTheme="majorBidi" w:hAnsiTheme="majorBidi" w:cstheme="majorBidi"/>
          <w:sz w:val="24"/>
          <w:szCs w:val="24"/>
        </w:rPr>
        <w:t>l</w:t>
      </w:r>
      <w:proofErr w:type="spellEnd"/>
      <w:r w:rsidR="002702F2">
        <w:rPr>
          <w:rFonts w:asciiTheme="majorBidi" w:hAnsiTheme="majorBidi" w:cstheme="majorBidi"/>
          <w:sz w:val="24"/>
          <w:szCs w:val="24"/>
        </w:rPr>
        <w:t xml:space="preserve"> fast blue-staining intensity.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Linagliptin </w:t>
      </w:r>
      <w:r w:rsidR="005B44B9">
        <w:rPr>
          <w:rFonts w:asciiTheme="majorBidi" w:hAnsiTheme="majorBidi" w:cstheme="majorBidi"/>
          <w:sz w:val="24"/>
          <w:szCs w:val="24"/>
        </w:rPr>
        <w:t>mitigated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cuprizone-induced oxidative stress by decreasing brain 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thiobarb</w:t>
      </w:r>
      <w:r w:rsidR="002702F2">
        <w:rPr>
          <w:rFonts w:asciiTheme="majorBidi" w:hAnsiTheme="majorBidi" w:cstheme="majorBidi"/>
          <w:sz w:val="24"/>
          <w:szCs w:val="24"/>
        </w:rPr>
        <w:t>ituric</w:t>
      </w:r>
      <w:proofErr w:type="spellEnd"/>
      <w:r w:rsidR="002702F2">
        <w:rPr>
          <w:rFonts w:asciiTheme="majorBidi" w:hAnsiTheme="majorBidi" w:cstheme="majorBidi"/>
          <w:sz w:val="24"/>
          <w:szCs w:val="24"/>
        </w:rPr>
        <w:t xml:space="preserve"> acid reactive substances </w:t>
      </w:r>
      <w:r w:rsidR="005B44B9">
        <w:rPr>
          <w:rFonts w:asciiTheme="majorBidi" w:hAnsiTheme="majorBidi" w:cstheme="majorBidi"/>
          <w:sz w:val="24"/>
          <w:szCs w:val="24"/>
        </w:rPr>
        <w:t>together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with restoring reduced glutathione levels. Linagliptin exerted an anti-inflammatory eff</w:t>
      </w:r>
      <w:r w:rsidR="002702F2">
        <w:rPr>
          <w:rFonts w:asciiTheme="majorBidi" w:hAnsiTheme="majorBidi" w:cstheme="majorBidi"/>
          <w:sz w:val="24"/>
          <w:szCs w:val="24"/>
        </w:rPr>
        <w:t xml:space="preserve">ect by reducing 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brain tumor necrosis factor-alpha. </w:t>
      </w:r>
      <w:r w:rsidR="005B44B9">
        <w:rPr>
          <w:rFonts w:asciiTheme="majorBidi" w:hAnsiTheme="majorBidi" w:cstheme="majorBidi"/>
          <w:sz w:val="24"/>
          <w:szCs w:val="24"/>
        </w:rPr>
        <w:t>Intriguing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, linagliptin </w:t>
      </w:r>
      <w:r w:rsidR="005B44B9" w:rsidRPr="002702F2">
        <w:rPr>
          <w:rFonts w:asciiTheme="majorBidi" w:hAnsiTheme="majorBidi" w:cstheme="majorBidi"/>
          <w:sz w:val="24"/>
          <w:szCs w:val="24"/>
        </w:rPr>
        <w:t>lessened</w:t>
      </w:r>
      <w:r w:rsidR="002702F2" w:rsidRPr="002702F2">
        <w:rPr>
          <w:rFonts w:asciiTheme="majorBidi" w:hAnsiTheme="majorBidi" w:cstheme="majorBidi"/>
          <w:sz w:val="24"/>
          <w:szCs w:val="24"/>
        </w:rPr>
        <w:t xml:space="preserve"> phosphorylated JAK2, </w:t>
      </w:r>
      <w:r w:rsidR="002702F2">
        <w:rPr>
          <w:rFonts w:asciiTheme="majorBidi" w:hAnsiTheme="majorBidi" w:cstheme="majorBidi"/>
          <w:sz w:val="24"/>
          <w:szCs w:val="24"/>
        </w:rPr>
        <w:t xml:space="preserve">phosphorylated </w:t>
      </w:r>
      <w:r w:rsidR="002702F2" w:rsidRPr="002702F2">
        <w:rPr>
          <w:rFonts w:asciiTheme="majorBidi" w:hAnsiTheme="majorBidi" w:cstheme="majorBidi"/>
          <w:sz w:val="24"/>
          <w:szCs w:val="24"/>
        </w:rPr>
        <w:t>STAT3 and NF-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κB</w:t>
      </w:r>
      <w:proofErr w:type="spellEnd"/>
      <w:r w:rsidR="002702F2" w:rsidRPr="002702F2">
        <w:rPr>
          <w:rFonts w:asciiTheme="majorBidi" w:hAnsiTheme="majorBidi" w:cstheme="majorBidi"/>
          <w:sz w:val="24"/>
          <w:szCs w:val="24"/>
        </w:rPr>
        <w:t xml:space="preserve"> p65 protein expression while up-regulating phosp</w:t>
      </w:r>
      <w:r w:rsidR="00B37451">
        <w:rPr>
          <w:rFonts w:asciiTheme="majorBidi" w:hAnsiTheme="majorBidi" w:cstheme="majorBidi"/>
          <w:sz w:val="24"/>
          <w:szCs w:val="24"/>
        </w:rPr>
        <w:t xml:space="preserve">horylated AMP-activated protein </w:t>
      </w:r>
      <w:r w:rsidR="002702F2" w:rsidRPr="002702F2">
        <w:rPr>
          <w:rFonts w:asciiTheme="majorBidi" w:hAnsiTheme="majorBidi" w:cstheme="majorBidi"/>
          <w:sz w:val="24"/>
          <w:szCs w:val="24"/>
        </w:rPr>
        <w:t>kinase (p-AMPK) protein and SIRT1 gene expression levels. In conclusion, linagl</w:t>
      </w:r>
      <w:r w:rsidR="002702F2">
        <w:rPr>
          <w:rFonts w:asciiTheme="majorBidi" w:hAnsiTheme="majorBidi" w:cstheme="majorBidi"/>
          <w:sz w:val="24"/>
          <w:szCs w:val="24"/>
        </w:rPr>
        <w:t xml:space="preserve">iptin exerted a neuroprotective </w:t>
      </w:r>
      <w:r w:rsidR="002702F2" w:rsidRPr="002702F2">
        <w:rPr>
          <w:rFonts w:asciiTheme="majorBidi" w:hAnsiTheme="majorBidi" w:cstheme="majorBidi"/>
          <w:sz w:val="24"/>
          <w:szCs w:val="24"/>
        </w:rPr>
        <w:t>effect in mice with cuprizone-induced demyelination possibly by modula</w:t>
      </w:r>
      <w:r w:rsidR="002702F2">
        <w:rPr>
          <w:rFonts w:asciiTheme="majorBidi" w:hAnsiTheme="majorBidi" w:cstheme="majorBidi"/>
          <w:sz w:val="24"/>
          <w:szCs w:val="24"/>
        </w:rPr>
        <w:t xml:space="preserve">ting AMPK/SIRT1 and JAK2/STAT3/ </w:t>
      </w:r>
      <w:r w:rsidR="002702F2" w:rsidRPr="002702F2">
        <w:rPr>
          <w:rFonts w:asciiTheme="majorBidi" w:hAnsiTheme="majorBidi" w:cstheme="majorBidi"/>
          <w:sz w:val="24"/>
          <w:szCs w:val="24"/>
        </w:rPr>
        <w:t>NF-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κB</w:t>
      </w:r>
      <w:proofErr w:type="spellEnd"/>
      <w:r w:rsidR="002702F2" w:rsidRPr="002702F2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2702F2" w:rsidRPr="002702F2">
        <w:rPr>
          <w:rFonts w:asciiTheme="majorBidi" w:hAnsiTheme="majorBidi" w:cstheme="majorBidi"/>
          <w:sz w:val="24"/>
          <w:szCs w:val="24"/>
        </w:rPr>
        <w:t>signalling</w:t>
      </w:r>
      <w:proofErr w:type="spellEnd"/>
      <w:r w:rsidR="002702F2" w:rsidRPr="002702F2">
        <w:rPr>
          <w:rFonts w:asciiTheme="majorBidi" w:hAnsiTheme="majorBidi" w:cstheme="majorBidi"/>
          <w:sz w:val="24"/>
          <w:szCs w:val="24"/>
        </w:rPr>
        <w:t xml:space="preserve"> pathways.</w:t>
      </w:r>
    </w:p>
    <w:p w:rsidR="00552A1A" w:rsidRDefault="00552A1A" w:rsidP="00552A1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52A1A" w:rsidRPr="002702F2" w:rsidRDefault="00552A1A" w:rsidP="00552A1A">
      <w:pPr>
        <w:autoSpaceDE w:val="0"/>
        <w:autoSpaceDN w:val="0"/>
        <w:adjustRightInd w:val="0"/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552A1A" w:rsidRPr="00552A1A" w:rsidRDefault="00552A1A" w:rsidP="00552A1A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 xml:space="preserve">Presenting author details </w:t>
      </w:r>
      <w:r w:rsidRPr="008A690F">
        <w:rPr>
          <w:b/>
          <w:lang w:val="en-NZ"/>
        </w:rPr>
        <w:br/>
      </w: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Eman</w:t>
      </w:r>
      <w:proofErr w:type="spellEnd"/>
      <w:r>
        <w:rPr>
          <w:lang w:val="en-NZ"/>
        </w:rPr>
        <w:t xml:space="preserve"> Maher </w:t>
      </w:r>
      <w:proofErr w:type="spellStart"/>
      <w:r>
        <w:rPr>
          <w:lang w:val="en-NZ"/>
        </w:rPr>
        <w:t>Elbaz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 xml:space="preserve"> 01009164103</w:t>
      </w:r>
      <w:r>
        <w:rPr>
          <w:lang w:val="en-NZ"/>
        </w:rPr>
        <w:br/>
        <w:t xml:space="preserve">Category: </w:t>
      </w:r>
      <w:r w:rsidRPr="008A690F">
        <w:rPr>
          <w:lang w:val="en-NZ"/>
        </w:rPr>
        <w:t>Poster presentation</w:t>
      </w:r>
      <w:r>
        <w:rPr>
          <w:lang w:val="en-NZ"/>
        </w:rPr>
        <w:br/>
      </w:r>
    </w:p>
    <w:p w:rsidR="00783B3B" w:rsidRPr="00552A1A" w:rsidRDefault="00783B3B" w:rsidP="002702F2">
      <w:pPr>
        <w:spacing w:line="480" w:lineRule="auto"/>
        <w:jc w:val="both"/>
        <w:rPr>
          <w:rFonts w:asciiTheme="majorBidi" w:hAnsiTheme="majorBidi" w:cstheme="majorBidi"/>
          <w:sz w:val="24"/>
          <w:szCs w:val="24"/>
          <w:lang w:val="en-NZ"/>
        </w:rPr>
      </w:pPr>
      <w:bookmarkStart w:id="0" w:name="_GoBack"/>
      <w:bookmarkEnd w:id="0"/>
    </w:p>
    <w:sectPr w:rsidR="00783B3B" w:rsidRPr="00552A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2F2"/>
    <w:rsid w:val="002702F2"/>
    <w:rsid w:val="00552A1A"/>
    <w:rsid w:val="005B44B9"/>
    <w:rsid w:val="006A7357"/>
    <w:rsid w:val="00783B3B"/>
    <w:rsid w:val="00B3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C60ED6-3B1E-4AE3-94D6-02C15588F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3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MMM</dc:creator>
  <cp:keywords/>
  <dc:description/>
  <cp:lastModifiedBy>MMM</cp:lastModifiedBy>
  <cp:revision>2</cp:revision>
  <dcterms:created xsi:type="dcterms:W3CDTF">2019-05-24T11:11:00Z</dcterms:created>
  <dcterms:modified xsi:type="dcterms:W3CDTF">2019-05-24T11:59:00Z</dcterms:modified>
</cp:coreProperties>
</file>