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62" w:rsidRPr="00FC1662" w:rsidRDefault="00FC1662" w:rsidP="00FC166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proofErr w:type="spellStart"/>
      <w:r w:rsidRPr="00FC1662">
        <w:rPr>
          <w:rFonts w:asciiTheme="majorBidi" w:hAnsiTheme="majorBidi" w:cstheme="majorBidi"/>
          <w:b/>
          <w:bCs/>
          <w:i/>
          <w:iCs/>
          <w:sz w:val="36"/>
          <w:szCs w:val="36"/>
        </w:rPr>
        <w:t>Pasteurella</w:t>
      </w:r>
      <w:proofErr w:type="spellEnd"/>
      <w:r w:rsidRPr="00FC1662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 </w:t>
      </w:r>
      <w:proofErr w:type="spellStart"/>
      <w:r w:rsidRPr="00FC1662">
        <w:rPr>
          <w:rFonts w:asciiTheme="majorBidi" w:hAnsiTheme="majorBidi" w:cstheme="majorBidi"/>
          <w:b/>
          <w:bCs/>
          <w:i/>
          <w:iCs/>
          <w:sz w:val="36"/>
          <w:szCs w:val="36"/>
        </w:rPr>
        <w:t>multocida</w:t>
      </w:r>
      <w:proofErr w:type="spellEnd"/>
      <w:r w:rsidRPr="00FC1662">
        <w:rPr>
          <w:rFonts w:asciiTheme="majorBidi" w:hAnsiTheme="majorBidi" w:cstheme="majorBidi"/>
          <w:b/>
          <w:bCs/>
          <w:sz w:val="36"/>
          <w:szCs w:val="36"/>
        </w:rPr>
        <w:t xml:space="preserve"> in backyard chickens in Upper Egypt: incidence with polymerase chain reaction analysis for capsule type, virulence in chicken embryos and antimicrobial resistance</w:t>
      </w:r>
    </w:p>
    <w:p w:rsidR="00FC1662" w:rsidRPr="00FC1662" w:rsidRDefault="00FC1662" w:rsidP="00FC1662">
      <w:pPr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C1662">
        <w:rPr>
          <w:rFonts w:asciiTheme="majorBidi" w:hAnsiTheme="majorBidi" w:cstheme="majorBidi"/>
          <w:b/>
          <w:bCs/>
          <w:sz w:val="24"/>
          <w:szCs w:val="24"/>
        </w:rPr>
        <w:t>Moemen</w:t>
      </w:r>
      <w:proofErr w:type="spellEnd"/>
      <w:r w:rsidRPr="00FC1662">
        <w:rPr>
          <w:rFonts w:asciiTheme="majorBidi" w:hAnsiTheme="majorBidi" w:cstheme="majorBidi"/>
          <w:b/>
          <w:bCs/>
          <w:sz w:val="24"/>
          <w:szCs w:val="24"/>
        </w:rPr>
        <w:t xml:space="preserve"> A. Mohamed(1), Mohamed</w:t>
      </w:r>
      <w:r w:rsidRPr="00FC1662">
        <w:rPr>
          <w:rFonts w:cstheme="majorBidi"/>
          <w:b/>
          <w:bCs/>
          <w:sz w:val="24"/>
          <w:szCs w:val="24"/>
        </w:rPr>
        <w:t>‐</w:t>
      </w:r>
      <w:proofErr w:type="spellStart"/>
      <w:r w:rsidRPr="00FC1662">
        <w:rPr>
          <w:rFonts w:asciiTheme="majorBidi" w:hAnsiTheme="majorBidi" w:cstheme="majorBidi"/>
          <w:b/>
          <w:bCs/>
          <w:sz w:val="24"/>
          <w:szCs w:val="24"/>
        </w:rPr>
        <w:t>Wael</w:t>
      </w:r>
      <w:proofErr w:type="spellEnd"/>
      <w:r w:rsidRPr="00FC1662">
        <w:rPr>
          <w:rFonts w:asciiTheme="majorBidi" w:hAnsiTheme="majorBidi" w:cstheme="majorBidi"/>
          <w:b/>
          <w:bCs/>
          <w:sz w:val="24"/>
          <w:szCs w:val="24"/>
        </w:rPr>
        <w:t xml:space="preserve"> A. Mohamed(2), Ahmed I. Ahmed(3),   </w:t>
      </w:r>
      <w:proofErr w:type="spellStart"/>
      <w:r w:rsidRPr="00FC1662">
        <w:rPr>
          <w:rFonts w:asciiTheme="majorBidi" w:hAnsiTheme="majorBidi" w:cstheme="majorBidi"/>
          <w:b/>
          <w:bCs/>
          <w:sz w:val="24"/>
          <w:szCs w:val="24"/>
        </w:rPr>
        <w:t>Awad</w:t>
      </w:r>
      <w:proofErr w:type="spellEnd"/>
      <w:r w:rsidRPr="00FC1662">
        <w:rPr>
          <w:rFonts w:asciiTheme="majorBidi" w:hAnsiTheme="majorBidi" w:cstheme="majorBidi"/>
          <w:b/>
          <w:bCs/>
          <w:sz w:val="24"/>
          <w:szCs w:val="24"/>
        </w:rPr>
        <w:t xml:space="preserve"> A. Ibrahim(1) &amp; Mohamed S. Ahmed(3)</w:t>
      </w:r>
    </w:p>
    <w:p w:rsidR="00FC1662" w:rsidRPr="00FC1662" w:rsidRDefault="00FC1662" w:rsidP="00FC166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FC1662">
        <w:rPr>
          <w:rFonts w:asciiTheme="majorBidi" w:hAnsiTheme="majorBidi" w:cstheme="majorBidi"/>
          <w:b/>
          <w:bCs/>
          <w:sz w:val="28"/>
          <w:szCs w:val="28"/>
        </w:rPr>
        <w:t>Summary</w:t>
      </w:r>
    </w:p>
    <w:p w:rsidR="00FC1662" w:rsidRPr="00FC1662" w:rsidRDefault="00FC1662" w:rsidP="00FC1662">
      <w:pPr>
        <w:jc w:val="both"/>
        <w:rPr>
          <w:rFonts w:asciiTheme="majorBidi" w:hAnsiTheme="majorBidi" w:cstheme="majorBidi"/>
          <w:sz w:val="28"/>
          <w:szCs w:val="28"/>
        </w:rPr>
      </w:pPr>
      <w:r w:rsidRPr="00FC1662">
        <w:rPr>
          <w:rFonts w:asciiTheme="majorBidi" w:hAnsiTheme="majorBidi" w:cstheme="majorBidi"/>
          <w:sz w:val="28"/>
          <w:szCs w:val="28"/>
        </w:rPr>
        <w:t xml:space="preserve">The prevalence of </w:t>
      </w:r>
      <w:proofErr w:type="spellStart"/>
      <w:r w:rsidRPr="00B87723">
        <w:rPr>
          <w:rFonts w:asciiTheme="majorBidi" w:hAnsiTheme="majorBidi" w:cstheme="majorBidi"/>
          <w:i/>
          <w:iCs/>
          <w:sz w:val="28"/>
          <w:szCs w:val="28"/>
        </w:rPr>
        <w:t>Pasteurella</w:t>
      </w:r>
      <w:proofErr w:type="spellEnd"/>
      <w:r w:rsidRPr="00B87723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B87723">
        <w:rPr>
          <w:rFonts w:asciiTheme="majorBidi" w:hAnsiTheme="majorBidi" w:cstheme="majorBidi"/>
          <w:i/>
          <w:iCs/>
          <w:sz w:val="28"/>
          <w:szCs w:val="28"/>
        </w:rPr>
        <w:t>multocida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strains among 275 backyard chickens from different regions of Upper Egypt was studied. A total of 21 isolates of </w:t>
      </w:r>
      <w:r w:rsidRPr="00B87723">
        <w:rPr>
          <w:rFonts w:asciiTheme="majorBidi" w:hAnsiTheme="majorBidi" w:cstheme="majorBidi"/>
          <w:i/>
          <w:iCs/>
          <w:sz w:val="28"/>
          <w:szCs w:val="28"/>
        </w:rPr>
        <w:t xml:space="preserve">P. </w:t>
      </w:r>
      <w:proofErr w:type="spellStart"/>
      <w:r w:rsidRPr="00B87723">
        <w:rPr>
          <w:rFonts w:asciiTheme="majorBidi" w:hAnsiTheme="majorBidi" w:cstheme="majorBidi"/>
          <w:i/>
          <w:iCs/>
          <w:sz w:val="28"/>
          <w:szCs w:val="28"/>
        </w:rPr>
        <w:t>multocida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were recovered in 21 out of 275 chickens tested (7.6%) and were confirmed using phenotypic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characterisation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. Somatic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serotyping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of the 21 isolates resulted in 12 isolates being classed as serotype A</w:t>
      </w:r>
      <w:proofErr w:type="gramStart"/>
      <w:r w:rsidRPr="00FC1662">
        <w:rPr>
          <w:rFonts w:asciiTheme="majorBidi" w:hAnsiTheme="majorBidi" w:cstheme="majorBidi"/>
          <w:sz w:val="28"/>
          <w:szCs w:val="28"/>
        </w:rPr>
        <w:t>:1</w:t>
      </w:r>
      <w:proofErr w:type="gramEnd"/>
      <w:r w:rsidRPr="00FC1662">
        <w:rPr>
          <w:rFonts w:asciiTheme="majorBidi" w:hAnsiTheme="majorBidi" w:cstheme="majorBidi"/>
          <w:sz w:val="28"/>
          <w:szCs w:val="28"/>
        </w:rPr>
        <w:t xml:space="preserve"> (57.14%), 4 as serotype A:3 (19.05%) and 5 could not be typed (23.8%). Capsular typing, using multiplex polymerase chain reaction (PCR), demonstrated that 18 strains were capsular type </w:t>
      </w:r>
      <w:proofErr w:type="gramStart"/>
      <w:r w:rsidRPr="00FC1662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FC1662">
        <w:rPr>
          <w:rFonts w:asciiTheme="majorBidi" w:hAnsiTheme="majorBidi" w:cstheme="majorBidi"/>
          <w:sz w:val="28"/>
          <w:szCs w:val="28"/>
        </w:rPr>
        <w:t xml:space="preserve"> (85.7%), and 3 were type D (14.3%). The present findings suggest that a multiplex capsular PCR could be valuable for the rapid identification of </w:t>
      </w:r>
      <w:r w:rsidRPr="00B87723">
        <w:rPr>
          <w:rFonts w:asciiTheme="majorBidi" w:hAnsiTheme="majorBidi" w:cstheme="majorBidi"/>
          <w:i/>
          <w:iCs/>
          <w:sz w:val="28"/>
          <w:szCs w:val="28"/>
        </w:rPr>
        <w:t xml:space="preserve">P. </w:t>
      </w:r>
      <w:proofErr w:type="spellStart"/>
      <w:r w:rsidRPr="00B87723">
        <w:rPr>
          <w:rFonts w:asciiTheme="majorBidi" w:hAnsiTheme="majorBidi" w:cstheme="majorBidi"/>
          <w:i/>
          <w:iCs/>
          <w:sz w:val="28"/>
          <w:szCs w:val="28"/>
        </w:rPr>
        <w:t>multocida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in cases of fowl cholera infection. A total of 5 isolates of P.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multocida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were selected to study their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pathogenicity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embryonated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chicken eggs instead of conducting a study in mature chickens. The results showed a variation in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pathogenicity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between the strains tested, namely: serotype A</w:t>
      </w:r>
      <w:proofErr w:type="gramStart"/>
      <w:r w:rsidRPr="00FC1662">
        <w:rPr>
          <w:rFonts w:asciiTheme="majorBidi" w:hAnsiTheme="majorBidi" w:cstheme="majorBidi"/>
          <w:sz w:val="28"/>
          <w:szCs w:val="28"/>
        </w:rPr>
        <w:t>:1</w:t>
      </w:r>
      <w:proofErr w:type="gramEnd"/>
      <w:r w:rsidRPr="00FC1662">
        <w:rPr>
          <w:rFonts w:asciiTheme="majorBidi" w:hAnsiTheme="majorBidi" w:cstheme="majorBidi"/>
          <w:sz w:val="28"/>
          <w:szCs w:val="28"/>
        </w:rPr>
        <w:t xml:space="preserve"> strains caused 80% mortality, in contrast to 20% mortality by type D strains. Pathological findings included severe congestion of the entire embryo,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haemorrhaging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of the skin, feather follicles and toe, and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ecchymotic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haemorrhages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on the liver of the inoculated embryos. The observations in this study indicate that P.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multocida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serogroup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A could be highly pathogenic for mature chickens and therefore might be a cause of considerable economic losses in commercial production. A total of 10 isolates were subjected to antimicrobial susceptibility to determine the minimal inhibitory concentration of 7 antimicrobials. All isolates were susceptible to ciprofloxacin,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florfenicol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, streptomycin and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sulphamethoxazol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with </w:t>
      </w:r>
      <w:proofErr w:type="spellStart"/>
      <w:r w:rsidRPr="00FC1662">
        <w:rPr>
          <w:rFonts w:asciiTheme="majorBidi" w:hAnsiTheme="majorBidi" w:cstheme="majorBidi"/>
          <w:sz w:val="28"/>
          <w:szCs w:val="28"/>
        </w:rPr>
        <w:t>trimethoprim</w:t>
      </w:r>
      <w:proofErr w:type="spellEnd"/>
      <w:r w:rsidRPr="00FC1662">
        <w:rPr>
          <w:rFonts w:asciiTheme="majorBidi" w:hAnsiTheme="majorBidi" w:cstheme="majorBidi"/>
          <w:sz w:val="28"/>
          <w:szCs w:val="28"/>
        </w:rPr>
        <w:t xml:space="preserve"> and with varying degrees of sensitivity to the other agents. </w:t>
      </w:r>
    </w:p>
    <w:p w:rsidR="00716BC0" w:rsidRDefault="00FC1662" w:rsidP="00FC1662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FC1662">
        <w:rPr>
          <w:rFonts w:asciiTheme="majorBidi" w:hAnsiTheme="majorBidi" w:cstheme="majorBidi"/>
          <w:b/>
          <w:bCs/>
          <w:sz w:val="24"/>
          <w:szCs w:val="24"/>
        </w:rPr>
        <w:t xml:space="preserve">Keywords </w:t>
      </w:r>
      <w:r w:rsidRPr="00FC1662">
        <w:rPr>
          <w:rFonts w:asciiTheme="majorBidi" w:hAnsiTheme="majorBidi" w:cstheme="majorBidi"/>
          <w:sz w:val="24"/>
          <w:szCs w:val="24"/>
        </w:rPr>
        <w:t>Antimicrobial, Chicken, Egypt, Embryo, Fowl cholera</w:t>
      </w:r>
      <w:r w:rsidRPr="00FC1662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FC1662">
        <w:rPr>
          <w:rFonts w:asciiTheme="majorBidi" w:hAnsiTheme="majorBidi" w:cstheme="majorBidi"/>
          <w:i/>
          <w:iCs/>
          <w:sz w:val="24"/>
          <w:szCs w:val="24"/>
        </w:rPr>
        <w:t>Pasteurella</w:t>
      </w:r>
      <w:proofErr w:type="spellEnd"/>
      <w:r w:rsidRPr="00FC1662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FC1662">
        <w:rPr>
          <w:rFonts w:asciiTheme="majorBidi" w:hAnsiTheme="majorBidi" w:cstheme="majorBidi"/>
          <w:i/>
          <w:iCs/>
          <w:sz w:val="24"/>
          <w:szCs w:val="24"/>
        </w:rPr>
        <w:t>multocida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C1662">
        <w:rPr>
          <w:rFonts w:asciiTheme="majorBidi" w:hAnsiTheme="majorBidi" w:cstheme="majorBidi"/>
          <w:sz w:val="24"/>
          <w:szCs w:val="24"/>
        </w:rPr>
        <w:t>Pasteurellosis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>, Polymerase chain reaction, Susceptibility.</w:t>
      </w:r>
      <w:proofErr w:type="gramEnd"/>
    </w:p>
    <w:p w:rsidR="00FC1662" w:rsidRPr="00FC1662" w:rsidRDefault="00FC1662" w:rsidP="00FC1662">
      <w:pPr>
        <w:rPr>
          <w:rFonts w:asciiTheme="majorBidi" w:hAnsiTheme="majorBidi" w:cstheme="majorBidi"/>
          <w:sz w:val="24"/>
          <w:szCs w:val="24"/>
        </w:rPr>
      </w:pPr>
      <w:r w:rsidRPr="00FC1662">
        <w:rPr>
          <w:rFonts w:asciiTheme="majorBidi" w:hAnsiTheme="majorBidi" w:cstheme="majorBidi"/>
          <w:sz w:val="24"/>
          <w:szCs w:val="24"/>
        </w:rPr>
        <w:lastRenderedPageBreak/>
        <w:t xml:space="preserve">(1) Department of Poultry Diseases, Faculty of Veterinary Medicine, </w:t>
      </w:r>
      <w:proofErr w:type="spellStart"/>
      <w:r w:rsidRPr="00FC1662">
        <w:rPr>
          <w:rFonts w:asciiTheme="majorBidi" w:hAnsiTheme="majorBidi" w:cstheme="majorBidi"/>
          <w:sz w:val="24"/>
          <w:szCs w:val="24"/>
        </w:rPr>
        <w:t>Assiut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 xml:space="preserve"> University, University Street, 710526 </w:t>
      </w:r>
      <w:proofErr w:type="spellStart"/>
      <w:r w:rsidRPr="00FC1662">
        <w:rPr>
          <w:rFonts w:asciiTheme="majorBidi" w:hAnsiTheme="majorBidi" w:cstheme="majorBidi"/>
          <w:sz w:val="24"/>
          <w:szCs w:val="24"/>
        </w:rPr>
        <w:t>Assiut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 xml:space="preserve">, Egypt </w:t>
      </w:r>
      <w:hyperlink r:id="rId4" w:history="1">
        <w:r w:rsidRPr="00FC1662">
          <w:rPr>
            <w:rStyle w:val="Hyperlink"/>
            <w:rFonts w:asciiTheme="majorBidi" w:hAnsiTheme="majorBidi" w:cstheme="majorBidi"/>
            <w:sz w:val="24"/>
            <w:szCs w:val="24"/>
          </w:rPr>
          <w:t>moemenassiut@hotmail.com</w:t>
        </w:r>
      </w:hyperlink>
    </w:p>
    <w:p w:rsidR="00FC1662" w:rsidRPr="00FC1662" w:rsidRDefault="00FC1662" w:rsidP="00FC1662">
      <w:pPr>
        <w:rPr>
          <w:rFonts w:asciiTheme="majorBidi" w:hAnsiTheme="majorBidi" w:cstheme="majorBidi"/>
          <w:sz w:val="24"/>
          <w:szCs w:val="24"/>
        </w:rPr>
      </w:pPr>
      <w:r w:rsidRPr="00FC1662">
        <w:rPr>
          <w:rFonts w:asciiTheme="majorBidi" w:hAnsiTheme="majorBidi" w:cstheme="majorBidi"/>
          <w:sz w:val="24"/>
          <w:szCs w:val="24"/>
        </w:rPr>
        <w:t xml:space="preserve"> (2) Department of Microbiology, Faculty of Veterinary medicine, South Valley University, </w:t>
      </w:r>
      <w:proofErr w:type="spellStart"/>
      <w:r w:rsidRPr="00FC1662">
        <w:rPr>
          <w:rFonts w:asciiTheme="majorBidi" w:hAnsiTheme="majorBidi" w:cstheme="majorBidi"/>
          <w:sz w:val="24"/>
          <w:szCs w:val="24"/>
        </w:rPr>
        <w:t>AlQoseer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 xml:space="preserve"> Street, </w:t>
      </w:r>
      <w:proofErr w:type="spellStart"/>
      <w:r w:rsidRPr="00FC1662">
        <w:rPr>
          <w:rFonts w:asciiTheme="majorBidi" w:hAnsiTheme="majorBidi" w:cstheme="majorBidi"/>
          <w:sz w:val="24"/>
          <w:szCs w:val="24"/>
        </w:rPr>
        <w:t>Qena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 xml:space="preserve">, Egypt </w:t>
      </w:r>
    </w:p>
    <w:p w:rsidR="00FC1662" w:rsidRPr="00FC1662" w:rsidRDefault="00FC1662" w:rsidP="00FC1662">
      <w:pPr>
        <w:rPr>
          <w:rFonts w:asciiTheme="majorBidi" w:hAnsiTheme="majorBidi" w:cstheme="majorBidi"/>
          <w:sz w:val="24"/>
          <w:szCs w:val="24"/>
        </w:rPr>
      </w:pPr>
      <w:r w:rsidRPr="00FC1662">
        <w:rPr>
          <w:rFonts w:asciiTheme="majorBidi" w:hAnsiTheme="majorBidi" w:cstheme="majorBidi"/>
          <w:sz w:val="24"/>
          <w:szCs w:val="24"/>
        </w:rPr>
        <w:t xml:space="preserve">(3) Department of Poultry diseases, Faculty of Veterinary medicine, South Valley University, </w:t>
      </w:r>
      <w:proofErr w:type="spellStart"/>
      <w:r w:rsidRPr="00FC1662">
        <w:rPr>
          <w:rFonts w:asciiTheme="majorBidi" w:hAnsiTheme="majorBidi" w:cstheme="majorBidi"/>
          <w:sz w:val="24"/>
          <w:szCs w:val="24"/>
        </w:rPr>
        <w:t>AlQoseer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 xml:space="preserve"> Street, </w:t>
      </w:r>
      <w:proofErr w:type="spellStart"/>
      <w:r w:rsidRPr="00FC1662">
        <w:rPr>
          <w:rFonts w:asciiTheme="majorBidi" w:hAnsiTheme="majorBidi" w:cstheme="majorBidi"/>
          <w:sz w:val="24"/>
          <w:szCs w:val="24"/>
        </w:rPr>
        <w:t>Qena</w:t>
      </w:r>
      <w:proofErr w:type="spellEnd"/>
      <w:r w:rsidRPr="00FC1662">
        <w:rPr>
          <w:rFonts w:asciiTheme="majorBidi" w:hAnsiTheme="majorBidi" w:cstheme="majorBidi"/>
          <w:sz w:val="24"/>
          <w:szCs w:val="24"/>
        </w:rPr>
        <w:t>, Egypt</w:t>
      </w:r>
    </w:p>
    <w:sectPr w:rsidR="00FC1662" w:rsidRPr="00FC1662" w:rsidSect="00716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1662"/>
    <w:rsid w:val="00716BC0"/>
    <w:rsid w:val="00B87723"/>
    <w:rsid w:val="00FC1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1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emenassiut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Moemen</dc:creator>
  <cp:lastModifiedBy>Dr Moemen</cp:lastModifiedBy>
  <cp:revision>2</cp:revision>
  <dcterms:created xsi:type="dcterms:W3CDTF">2017-08-05T14:35:00Z</dcterms:created>
  <dcterms:modified xsi:type="dcterms:W3CDTF">2017-08-05T14:39:00Z</dcterms:modified>
</cp:coreProperties>
</file>