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lang w:eastAsia="en-IN"/>
        </w:rPr>
        <w:drawing>
          <wp:anchor distT="0" distB="0" distL="0" distR="0" simplePos="0" relativeHeight="251659264" behindDoc="0" locked="0" layoutInCell="1" allowOverlap="1">
            <wp:simplePos x="0" y="0"/>
            <wp:positionH relativeFrom="column">
              <wp:posOffset>3738245</wp:posOffset>
            </wp:positionH>
            <wp:positionV relativeFrom="paragraph">
              <wp:posOffset>-628650</wp:posOffset>
            </wp:positionV>
            <wp:extent cx="1076325" cy="1076325"/>
            <wp:effectExtent l="0" t="0" r="9525" b="9525"/>
            <wp:wrapSquare wrapText="bothSides"/>
            <wp:docPr id="1" name="Picture 1" descr="C:\Users\sb\Downloads\ramachandran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b\Downloads\ramachandranm (1).jpg"/>
                    <pic:cNvPicPr>
                      <a:picLocks noChangeAspect="1" noChangeArrowheads="1"/>
                    </pic:cNvPicPr>
                  </pic:nvPicPr>
                  <pic:blipFill>
                    <a:blip r:embed="rId6"/>
                    <a:srcRect/>
                    <a:stretch>
                      <a:fillRect/>
                    </a:stretch>
                  </pic:blipFill>
                  <pic:spPr>
                    <a:xfrm>
                      <a:off x="0" y="0"/>
                      <a:ext cx="1076325" cy="1076325"/>
                    </a:xfrm>
                    <a:prstGeom prst="rect">
                      <a:avLst/>
                    </a:prstGeom>
                    <a:noFill/>
                    <a:ln w="9525">
                      <a:noFill/>
                      <a:miter lim="800000"/>
                      <a:headEnd/>
                      <a:tailEnd/>
                    </a:ln>
                  </pic:spPr>
                </pic:pic>
              </a:graphicData>
            </a:graphic>
          </wp:anchor>
        </w:drawing>
      </w:r>
      <w:r>
        <w:t xml:space="preserve">                                                 </w:t>
      </w:r>
    </w:p>
    <w:p/>
    <w:p>
      <w:pPr>
        <w:rPr>
          <w:b/>
          <w:sz w:val="32"/>
          <w:szCs w:val="32"/>
        </w:rPr>
      </w:pPr>
      <w:r>
        <w:t xml:space="preserve">          </w:t>
      </w:r>
      <w:r>
        <w:rPr>
          <w:sz w:val="32"/>
          <w:szCs w:val="32"/>
        </w:rPr>
        <w:t>Neurological  manifestations of Corona  virus  infection</w:t>
      </w:r>
    </w:p>
    <w:p>
      <w:r>
        <w:t xml:space="preserve">    Ramachandran  Muthiah,  Morning Star Hospital, Marthandam, Kanyakumari District  India</w:t>
      </w:r>
    </w:p>
    <w:p>
      <w:pPr>
        <w:rPr>
          <w:sz w:val="28"/>
          <w:szCs w:val="28"/>
        </w:rPr>
      </w:pPr>
      <w:r>
        <w:rPr>
          <w:sz w:val="28"/>
          <w:szCs w:val="28"/>
        </w:rPr>
        <w:t>Abstract</w:t>
      </w:r>
    </w:p>
    <w:p>
      <w:pPr>
        <w:jc w:val="both"/>
      </w:pPr>
      <w:r>
        <w:t xml:space="preserve">  As with other neurotropic viruses, </w:t>
      </w:r>
      <w:r>
        <w:rPr>
          <w:bCs/>
        </w:rPr>
        <w:t>viral entry to the brain through the olfactory bulb</w:t>
      </w:r>
      <w:r>
        <w:t xml:space="preserve">, the angiotensin converting enzyme 2 receptor </w:t>
      </w:r>
      <w:r>
        <w:rPr>
          <w:b/>
        </w:rPr>
        <w:t>(</w:t>
      </w:r>
      <w:r>
        <w:rPr>
          <w:b/>
          <w:bCs/>
        </w:rPr>
        <w:t>ACE-2</w:t>
      </w:r>
      <w:r>
        <w:t>), to which SARS-CoV-2 binds   for entry into cells,  found  in brain vascular  endothelium and smooth muscle and SARS-CoV-2 replicates in neuronal cells.</w:t>
      </w:r>
      <w:r>
        <w:rPr>
          <w:rFonts w:ascii="Georgia" w:hAnsi="Georgia" w:eastAsia="+mn-ea" w:cs="+mn-cs"/>
          <w:b/>
          <w:bCs/>
          <w:color w:val="000000"/>
          <w:kern w:val="24"/>
          <w:sz w:val="50"/>
          <w:szCs w:val="50"/>
        </w:rPr>
        <w:t xml:space="preserve"> </w:t>
      </w:r>
      <w:r>
        <w:rPr>
          <w:rFonts w:ascii="Georgia" w:hAnsi="Georgia" w:eastAsia="+mn-ea" w:cs="+mn-cs"/>
          <w:bCs/>
          <w:color w:val="000000"/>
          <w:kern w:val="24"/>
        </w:rPr>
        <w:t>It causes</w:t>
      </w:r>
      <w:r>
        <w:rPr>
          <w:rFonts w:ascii="Georgia" w:hAnsi="Georgia" w:eastAsia="+mn-ea" w:cs="+mn-cs"/>
          <w:b/>
          <w:bCs/>
          <w:color w:val="000000"/>
          <w:kern w:val="24"/>
        </w:rPr>
        <w:t xml:space="preserve"> </w:t>
      </w:r>
      <w:r>
        <w:rPr>
          <w:bCs/>
        </w:rPr>
        <w:t>oedema, neuronal necrosis, and broad  gliocyte hyperplasia</w:t>
      </w:r>
      <w:r>
        <w:t>. The elevated expression of the cytokine, monokine induced by gamma interferon (known as MIG or CXCL9), and with infiltration of monocytes and macrophages plus T cells  are consistent with viral CNS entry, triggering  the infiltration of immune cells and the release of cytokines and chemokines, which contribute to tissue damage. A vasculitis process similar to that for varicella zoster virus, in which viral replication in the cerebral arterial wall triggers local inflammation,  endothelial infection by SARS-CoV-2 and stroke are consistent with a virus-associated microangiopathic  process.</w:t>
      </w:r>
      <w:r>
        <w:rPr>
          <w:rFonts w:ascii="Georgia" w:hAnsi="Georgia" w:eastAsia="+mn-ea" w:cs="+mn-cs"/>
          <w:color w:val="000000"/>
          <w:kern w:val="24"/>
          <w:sz w:val="50"/>
          <w:szCs w:val="50"/>
        </w:rPr>
        <w:t xml:space="preserve"> </w:t>
      </w:r>
      <w:r>
        <w:t xml:space="preserve">Competitive  blockage of angiotensin-converting enzyme 2  by the SARS-CoV-2 virus down-regulates angiotensin-converting enzyme 2 expression leading to uncontrolled blood pressure and the enhanced possibility of cerebrovascular accidents. The SARS-CoV-2 virus epitopes bear a structural resemblance to several human proteins. </w:t>
      </w:r>
      <w:r>
        <w:rPr>
          <w:bCs/>
        </w:rPr>
        <w:t>Molecular mimicry</w:t>
      </w:r>
      <w:r>
        <w:rPr>
          <w:b/>
          <w:bCs/>
        </w:rPr>
        <w:t xml:space="preserve"> </w:t>
      </w:r>
      <w:r>
        <w:t>between virus epitope and myelin basic protein results in autoimmune postinfectious demyelinating syndromes.</w:t>
      </w:r>
      <w:r>
        <w:rPr>
          <w:rFonts w:ascii="Georgia" w:hAnsi="Georgia" w:eastAsia="+mn-ea" w:cs="+mn-cs"/>
          <w:color w:val="000000"/>
          <w:kern w:val="24"/>
          <w:sz w:val="54"/>
          <w:szCs w:val="54"/>
        </w:rPr>
        <w:t xml:space="preserve"> </w:t>
      </w:r>
      <w:r>
        <w:t>Spike surface glycoprotein plays a crucial role in immunopathology.</w:t>
      </w:r>
      <w:r>
        <w:rPr>
          <w:rFonts w:ascii="Georgia" w:hAnsi="Georgia" w:eastAsia="+mn-ea" w:cs="+mn-cs"/>
          <w:color w:val="000000"/>
          <w:kern w:val="24"/>
          <w:sz w:val="54"/>
          <w:szCs w:val="54"/>
        </w:rPr>
        <w:t xml:space="preserve"> </w:t>
      </w:r>
      <w:r>
        <w:t xml:space="preserve">Dysregulation of the angiotensin-converting enzyme 2 receptor contributes to the pathogenesis of experimental autoimmune  encephalomyelitis. </w:t>
      </w:r>
      <w:r>
        <w:rPr>
          <w:bCs/>
        </w:rPr>
        <w:t>Guillain-Barré syndrome</w:t>
      </w:r>
      <w:r>
        <w:rPr>
          <w:b/>
          <w:bCs/>
        </w:rPr>
        <w:t xml:space="preserve"> </w:t>
      </w:r>
      <w:r>
        <w:t xml:space="preserve">is a frequently encountered neurological complication of COVID-19. Zhao and co-workers described the first patient of Guillain-Barré syndrome in a patient with COVID-19. After this, 18 more patients, of Guillain-Barré syndrome in COVID-19, have been described. </w:t>
      </w:r>
      <w:r>
        <w:rPr>
          <w:bCs/>
        </w:rPr>
        <w:t>Miller Fisher syndrome</w:t>
      </w:r>
      <w:r>
        <w:rPr>
          <w:b/>
          <w:bCs/>
        </w:rPr>
        <w:t xml:space="preserve"> </w:t>
      </w:r>
      <w:r>
        <w:t xml:space="preserve">is a variant of Guillain-Barré syndrome and is characterized by ophthalmoplegia, ataxia, and areflexia.  has also been described in patients with Covid-19. Treatment with intravenous immunoglobulins lead to complete or partial recovery, in the majority. </w:t>
      </w:r>
      <w:r>
        <w:rPr>
          <w:bCs/>
        </w:rPr>
        <w:t>A serine protease enzyme inhibitor blocks viral entry</w:t>
      </w:r>
      <w:r>
        <w:rPr>
          <w:b/>
          <w:bCs/>
        </w:rPr>
        <w:t xml:space="preserve"> </w:t>
      </w:r>
      <w:r>
        <w:t>into the host cell. This phenomenon can be exploited for developing a treatment of COVID-19, in the future</w:t>
      </w:r>
    </w:p>
    <w:p>
      <w:pPr>
        <w:jc w:val="both"/>
      </w:pPr>
      <w:r>
        <w:t>E mail : cardioramachandran@yahoo.co.uk</w:t>
      </w:r>
    </w:p>
    <w:p>
      <w:pPr>
        <w:jc w:val="both"/>
      </w:pPr>
      <w:r>
        <w:t>Biography</w:t>
      </w:r>
    </w:p>
    <w:p>
      <w:pPr>
        <w:jc w:val="both"/>
      </w:pPr>
      <w:r>
        <w:t xml:space="preserve"> Ramachandran Muthiah, Consultant Physician &amp; Cardiologist, Zion hospital, Azhagiamandapam,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w:t>
      </w:r>
      <w:r>
        <w:rPr>
          <w:rFonts w:hint="default"/>
          <w:lang w:val="en-IN"/>
        </w:rPr>
        <w:t>Kanyakumari medical college.</w:t>
      </w:r>
      <w:r>
        <w:t xml:space="preserve">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w:t>
      </w:r>
    </w:p>
    <w:p>
      <w:pPr>
        <w:autoSpaceDE w:val="0"/>
        <w:autoSpaceDN w:val="0"/>
        <w:adjustRightInd w:val="0"/>
        <w:rPr>
          <w:rFonts w:hint="default"/>
          <w:lang w:val="en-IN"/>
        </w:rPr>
      </w:pPr>
      <w:r>
        <w:rPr>
          <w:rFonts w:hint="default"/>
          <w:b/>
          <w:lang w:val="en-IN"/>
        </w:rPr>
        <w:t>P</w:t>
      </w:r>
      <w:r>
        <w:rPr>
          <w:b/>
          <w:lang w:val="en-NZ"/>
        </w:rPr>
        <w:t xml:space="preserve">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 Palaninta vilai, Keezhkulam-629193</w:t>
      </w:r>
      <w:bookmarkStart w:id="0" w:name="_GoBack"/>
      <w:bookmarkEnd w:id="0"/>
      <w:r>
        <w:rPr>
          <w:rFonts w:hint="default"/>
          <w:lang w:val="en-IN"/>
        </w:rPr>
        <w:t xml:space="preserve">, Kanyakumari </w:t>
      </w:r>
    </w:p>
    <w:p>
      <w:pPr>
        <w:autoSpaceDE w:val="0"/>
        <w:autoSpaceDN w:val="0"/>
        <w:adjustRightInd w:val="0"/>
        <w:rPr>
          <w:rFonts w:hint="default"/>
          <w:lang w:val="en-IN"/>
        </w:rPr>
      </w:pPr>
      <w:r>
        <w:rPr>
          <w:rFonts w:hint="default"/>
          <w:lang w:val="en-IN"/>
        </w:rPr>
        <w:t xml:space="preserve">                                                                                   District, Tamil nadu  state, India (+914651-203014)</w:t>
      </w:r>
    </w:p>
    <w:p>
      <w:pPr>
        <w:jc w:val="both"/>
      </w:pPr>
      <w:r>
        <w:rPr>
          <w:lang w:val="en-NZ"/>
        </w:rPr>
        <w:t>Session</w:t>
      </w:r>
      <w:r>
        <w:rPr>
          <w:rFonts w:hint="default"/>
          <w:lang w:val="en-IN"/>
        </w:rPr>
        <w:t xml:space="preserve"> Neuroscience/ </w:t>
      </w:r>
      <w:r>
        <w:rPr>
          <w:lang w:val="en-NZ"/>
        </w:rPr>
        <w:t>number:</w:t>
      </w:r>
      <w:r>
        <w:rPr>
          <w:rFonts w:hint="default"/>
          <w:lang w:val="en-IN"/>
        </w:rPr>
        <w:t xml:space="preserve"> 1</w:t>
      </w:r>
      <w:r>
        <w:rPr>
          <w:lang w:val="en-NZ"/>
        </w:rPr>
        <w:br w:type="textWrapping"/>
      </w:r>
      <w:r>
        <w:rPr>
          <w:lang w:val="en-NZ"/>
        </w:rPr>
        <w:t>Category:</w:t>
      </w:r>
      <w:r>
        <w:rPr>
          <w:rFonts w:hint="default"/>
          <w:lang w:val="en-IN"/>
        </w:rPr>
        <w:t xml:space="preserve">                           </w:t>
      </w:r>
      <w:r>
        <w:rPr>
          <w:lang w:val="en-NZ"/>
        </w:rPr>
        <w:t xml:space="preserve"> (Oral presentation)</w:t>
      </w:r>
    </w:p>
    <w:p>
      <w:pPr>
        <w:jc w:val="both"/>
      </w:pPr>
    </w:p>
    <w:p/>
    <w:p>
      <w:pPr>
        <w:ind w:left="720"/>
      </w:pPr>
    </w:p>
    <w:p>
      <w:pPr>
        <w:ind w:left="720"/>
      </w:pPr>
    </w:p>
    <w:p>
      <w:pPr>
        <w:ind w:left="720"/>
      </w:pPr>
    </w:p>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mn-ea">
    <w:altName w:val="Times New Roman"/>
    <w:panose1 w:val="00000000000000000000"/>
    <w:charset w:val="00"/>
    <w:family w:val="roman"/>
    <w:pitch w:val="default"/>
    <w:sig w:usb0="00000000" w:usb1="00000000" w:usb2="00000000" w:usb3="00000000" w:csb0="0000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85"/>
    <w:rsid w:val="0004498F"/>
    <w:rsid w:val="001B0585"/>
    <w:rsid w:val="00786974"/>
    <w:rsid w:val="008424C8"/>
    <w:rsid w:val="008C49E1"/>
    <w:rsid w:val="008C7E37"/>
    <w:rsid w:val="00AA719B"/>
    <w:rsid w:val="00B15C3A"/>
    <w:rsid w:val="00CB6278"/>
    <w:rsid w:val="00D15830"/>
    <w:rsid w:val="00E060ED"/>
    <w:rsid w:val="572E33C9"/>
    <w:rsid w:val="5C1459A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uiPriority w:val="99"/>
    <w:pPr>
      <w:spacing w:after="0" w:line="240" w:lineRule="auto"/>
    </w:pPr>
    <w:rPr>
      <w:rFonts w:ascii="Tahoma" w:hAnsi="Tahoma" w:cs="Tahoma"/>
      <w:sz w:val="16"/>
      <w:szCs w:val="16"/>
    </w:rPr>
  </w:style>
  <w:style w:type="paragraph" w:styleId="5">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IN"/>
    </w:rPr>
  </w:style>
  <w:style w:type="character" w:customStyle="1" w:styleId="6">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73D7EE-6044-4E59-82D5-0719DA5C599C}">
  <ds:schemaRefs/>
</ds:datastoreItem>
</file>

<file path=docProps/app.xml><?xml version="1.0" encoding="utf-8"?>
<Properties xmlns="http://schemas.openxmlformats.org/officeDocument/2006/extended-properties" xmlns:vt="http://schemas.openxmlformats.org/officeDocument/2006/docPropsVTypes">
  <Template>Normal</Template>
  <Pages>2</Pages>
  <Words>645</Words>
  <Characters>3680</Characters>
  <Lines>30</Lines>
  <Paragraphs>8</Paragraphs>
  <TotalTime>12</TotalTime>
  <ScaleCrop>false</ScaleCrop>
  <LinksUpToDate>false</LinksUpToDate>
  <CharactersWithSpaces>4317</CharactersWithSpaces>
  <Application>WPS Office_11.2.0.10351_F1E327BC-269C-435d-A152-05C5408002CA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2021-04-24T11:42:00Z</dcterms:created>
  <dc:creator>sb</dc:creator>
  <cp:lastModifiedBy>PC</cp:lastModifiedBy>
  <dcterms:modified xsi:type="dcterms:W3CDTF">2021-11-10T14:53:59Z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E7DE23E5358046EABD828C9268ED92CD</vt:lpwstr>
  </property>
</Properties>
</file>