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Padrão"/>
        <w:bidi w:val="0"/>
        <w:spacing w:after="240" w:line="400" w:lineRule="atLeast"/>
        <w:ind w:left="0" w:right="0" w:firstLine="0"/>
        <w:jc w:val="left"/>
        <w:rPr>
          <w:rtl w:val="0"/>
        </w:rPr>
      </w:pPr>
      <w:r>
        <w:rPr>
          <w:rFonts w:ascii="Times" w:hAnsi="Times"/>
          <w:b w:val="1"/>
          <w:bCs w:val="1"/>
          <w:i w:val="1"/>
          <w:iCs w:val="1"/>
          <w:sz w:val="28"/>
          <w:szCs w:val="28"/>
          <w:rtl w:val="0"/>
          <w:lang w:val="en-US"/>
        </w:rPr>
        <w:t>Cerebelar Glioblastoma Multiforme: Case Report and Literature Review.</w:t>
      </w:r>
    </w:p>
    <w:p>
      <w:pPr>
        <w:pStyle w:val="Padrão"/>
        <w:bidi w:val="0"/>
        <w:spacing w:after="240" w:line="300" w:lineRule="atLeast"/>
        <w:ind w:left="0" w:right="0" w:firstLine="0"/>
        <w:jc w:val="left"/>
        <w:rPr>
          <w:rtl w:val="0"/>
        </w:rPr>
      </w:pPr>
      <w:r>
        <w:rPr>
          <w:rFonts w:ascii="Times New Roman" w:hAnsi="Times New Roman"/>
          <w:i w:val="1"/>
          <w:iCs w:val="1"/>
          <w:sz w:val="24"/>
          <w:szCs w:val="24"/>
          <w:rtl w:val="0"/>
          <w:lang w:val="pt-PT"/>
        </w:rPr>
        <w:t>A</w:t>
      </w:r>
      <w:r>
        <w:rPr>
          <w:rFonts w:ascii="Times New Roman" w:hAnsi="Times New Roman"/>
          <w:i w:val="1"/>
          <w:iCs w:val="1"/>
          <w:sz w:val="24"/>
          <w:szCs w:val="24"/>
          <w:rtl w:val="0"/>
          <w:lang w:val="en-US"/>
        </w:rPr>
        <w:t xml:space="preserve">strocytomas are brain neoplasms derived from astrocytes. Among the histological subtypes of this neoplasm, degree IV is also known as glioblastoma multiforme (GBM) and the most common primary brain tumor. Cerebellar location for this neoplasm is extremely rare, and since 1975 to 2011 less than 180 cases were registered in the world. </w:t>
      </w:r>
    </w:p>
    <w:p>
      <w:pPr>
        <w:pStyle w:val="Padrão"/>
        <w:bidi w:val="0"/>
        <w:spacing w:after="240" w:line="300" w:lineRule="atLeast"/>
        <w:ind w:left="0" w:right="0" w:firstLine="0"/>
        <w:jc w:val="left"/>
        <w:rPr>
          <w:rtl w:val="0"/>
        </w:rPr>
      </w:pPr>
      <w:r>
        <w:rPr>
          <w:rFonts w:ascii="Times New Roman" w:hAnsi="Times New Roman"/>
          <w:i w:val="1"/>
          <w:iCs w:val="1"/>
          <w:sz w:val="24"/>
          <w:szCs w:val="24"/>
          <w:rtl w:val="0"/>
          <w:lang w:val="en-US"/>
        </w:rPr>
        <w:t>The present report describes a</w:t>
      </w:r>
      <w:r>
        <w:rPr>
          <w:rFonts w:ascii="Times New Roman" w:hAnsi="Times New Roman"/>
          <w:i w:val="1"/>
          <w:iCs w:val="1"/>
          <w:sz w:val="24"/>
          <w:szCs w:val="24"/>
          <w:rtl w:val="0"/>
          <w:lang w:val="pt-PT"/>
        </w:rPr>
        <w:t xml:space="preserve"> </w:t>
      </w:r>
      <w:r>
        <w:rPr>
          <w:rFonts w:ascii="Times New Roman" w:hAnsi="Times New Roman"/>
          <w:i w:val="1"/>
          <w:iCs w:val="1"/>
          <w:sz w:val="24"/>
          <w:szCs w:val="24"/>
          <w:rtl w:val="0"/>
          <w:lang w:val="en-US"/>
        </w:rPr>
        <w:t>45-year-old male patient started in May 2017 complaining of a lack of balance.</w:t>
      </w:r>
      <w:r>
        <w:rPr>
          <w:rFonts w:ascii="Times New Roman" w:hAnsi="Times New Roman"/>
          <w:i w:val="1"/>
          <w:iCs w:val="1"/>
          <w:sz w:val="24"/>
          <w:szCs w:val="24"/>
          <w:rtl w:val="0"/>
          <w:lang w:val="pt-PT"/>
        </w:rPr>
        <w:t xml:space="preserve"> </w:t>
      </w:r>
      <w:r>
        <w:rPr>
          <w:rFonts w:ascii="Times New Roman" w:hAnsi="Times New Roman"/>
          <w:i w:val="1"/>
          <w:iCs w:val="1"/>
          <w:sz w:val="24"/>
          <w:szCs w:val="24"/>
          <w:rtl w:val="0"/>
          <w:lang w:val="en-US"/>
        </w:rPr>
        <w:t>He sought medical care in June, after vertigo worsening associated with intense bilateral throbbing headache. Physical examination showed axial and appendicular ataxia, dysarthria, altered heel-knee test, dysdiadochokinesia and dysmetria worse on the right.</w:t>
      </w:r>
      <w:r>
        <w:rPr>
          <w:rFonts w:ascii="Times New Roman" w:hAnsi="Times New Roman"/>
          <w:i w:val="1"/>
          <w:iCs w:val="1"/>
          <w:sz w:val="24"/>
          <w:szCs w:val="24"/>
          <w:rtl w:val="0"/>
          <w:lang w:val="pt-PT"/>
        </w:rPr>
        <w:t xml:space="preserve"> </w:t>
      </w:r>
      <w:r>
        <w:rPr>
          <w:rFonts w:ascii="Times New Roman" w:hAnsi="Times New Roman"/>
          <w:i w:val="1"/>
          <w:iCs w:val="1"/>
          <w:sz w:val="24"/>
          <w:szCs w:val="24"/>
          <w:rtl w:val="0"/>
          <w:lang w:val="en-US"/>
        </w:rPr>
        <w:t>It was submitted to magnetic resonance imaging (MRI) of the brain. The examination revealed a neoplastic process in the right posterior fossa, of a heterogeneous character, infiltrating the cerebellar parenchyma and displacing contralaterally the IV ventricle, but without signs of hydrocephalus</w:t>
      </w:r>
      <w:r>
        <w:rPr>
          <w:rFonts w:ascii="Times New Roman" w:hAnsi="Times New Roman"/>
          <w:i w:val="1"/>
          <w:iCs w:val="1"/>
          <w:sz w:val="24"/>
          <w:szCs w:val="24"/>
          <w:rtl w:val="0"/>
          <w:lang w:val="pt-PT"/>
        </w:rPr>
        <w:t xml:space="preserve">. </w:t>
      </w:r>
      <w:r>
        <w:rPr>
          <w:rFonts w:ascii="Times New Roman" w:hAnsi="Times New Roman"/>
          <w:i w:val="1"/>
          <w:iCs w:val="1"/>
          <w:sz w:val="24"/>
          <w:szCs w:val="24"/>
          <w:rtl w:val="0"/>
          <w:lang w:val="en-US"/>
        </w:rPr>
        <w:t>In July 2017, a total resection of the heterogeneous lesion was performed, infiltrating adjacent and intensely bleeding cerebellar parenchyma. Histopathological examination and immunohistochemical analysis revealed to be GBM. Subsequent analysis of the IDH gene revealed no mutation.</w:t>
      </w:r>
      <w:r>
        <w:rPr>
          <w:rFonts w:ascii="Times New Roman" w:cs="Times New Roman" w:hAnsi="Times New Roman" w:eastAsia="Times New Roman"/>
          <w:i w:val="1"/>
          <w:iCs w:val="1"/>
          <w:sz w:val="24"/>
          <w:szCs w:val="24"/>
          <w:rtl w:val="0"/>
        </w:rPr>
        <w:drawing>
          <wp:anchor distT="152400" distB="152400" distL="152400" distR="152400" simplePos="0" relativeHeight="251659264" behindDoc="0" locked="0" layoutInCell="1" allowOverlap="1">
            <wp:simplePos x="0" y="0"/>
            <wp:positionH relativeFrom="margin">
              <wp:posOffset>749311</wp:posOffset>
            </wp:positionH>
            <wp:positionV relativeFrom="line">
              <wp:posOffset>212044</wp:posOffset>
            </wp:positionV>
            <wp:extent cx="984341" cy="1244578"/>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RMN axial (01).jpg"/>
                    <pic:cNvPicPr>
                      <a:picLocks noChangeAspect="1"/>
                    </pic:cNvPicPr>
                  </pic:nvPicPr>
                  <pic:blipFill>
                    <a:blip r:embed="rId4">
                      <a:extLst/>
                    </a:blip>
                    <a:stretch>
                      <a:fillRect/>
                    </a:stretch>
                  </pic:blipFill>
                  <pic:spPr>
                    <a:xfrm>
                      <a:off x="0" y="0"/>
                      <a:ext cx="984341" cy="1244578"/>
                    </a:xfrm>
                    <a:prstGeom prst="rect">
                      <a:avLst/>
                    </a:prstGeom>
                    <a:ln w="12700" cap="flat">
                      <a:noFill/>
                      <a:miter lim="400000"/>
                    </a:ln>
                    <a:effectLst/>
                  </pic:spPr>
                </pic:pic>
              </a:graphicData>
            </a:graphic>
          </wp:anchor>
        </w:drawing>
      </w:r>
      <w:r>
        <w:rPr>
          <w:rFonts w:ascii="Times New Roman" w:cs="Times New Roman" w:hAnsi="Times New Roman" w:eastAsia="Times New Roman"/>
          <w:i w:val="1"/>
          <w:iCs w:val="1"/>
          <w:sz w:val="24"/>
          <w:szCs w:val="24"/>
          <w:rtl w:val="0"/>
        </w:rPr>
        <mc:AlternateContent>
          <mc:Choice Requires="wps">
            <w:drawing>
              <wp:anchor distT="152400" distB="152400" distL="152400" distR="152400" simplePos="0" relativeHeight="251662336" behindDoc="0" locked="0" layoutInCell="1" allowOverlap="1">
                <wp:simplePos x="0" y="0"/>
                <wp:positionH relativeFrom="margin">
                  <wp:posOffset>858609</wp:posOffset>
                </wp:positionH>
                <wp:positionV relativeFrom="line">
                  <wp:posOffset>1456621</wp:posOffset>
                </wp:positionV>
                <wp:extent cx="765745" cy="296387"/>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microsoft.com/office/word/2010/wordprocessingShape">
                    <wps:wsp>
                      <wps:cNvSpPr/>
                      <wps:spPr>
                        <a:xfrm>
                          <a:off x="0" y="0"/>
                          <a:ext cx="765745" cy="296387"/>
                        </a:xfrm>
                        <a:prstGeom prst="rect">
                          <a:avLst/>
                        </a:prstGeom>
                        <a:noFill/>
                        <a:ln w="12700" cap="flat">
                          <a:noFill/>
                          <a:miter lim="400000"/>
                        </a:ln>
                        <a:effectLst/>
                      </wps:spPr>
                      <wps:txbx>
                        <w:txbxContent>
                          <w:p>
                            <w:pPr>
                              <w:pStyle w:val="Corpo"/>
                              <w:bidi w:val="0"/>
                            </w:pPr>
                            <w:r>
                              <w:rPr>
                                <w:rtl w:val="0"/>
                              </w:rPr>
                              <w:t>Axial MRI</w:t>
                            </w:r>
                          </w:p>
                        </w:txbxContent>
                      </wps:txbx>
                      <wps:bodyPr wrap="square" lIns="50800" tIns="50800" rIns="50800" bIns="50800" numCol="1" anchor="t">
                        <a:noAutofit/>
                      </wps:bodyPr>
                    </wps:wsp>
                  </a:graphicData>
                </a:graphic>
              </wp:anchor>
            </w:drawing>
          </mc:Choice>
          <mc:Fallback>
            <w:pict>
              <v:rect id="_x0000_s1026" style="visibility:visible;position:absolute;margin-left:67.6pt;margin-top:114.7pt;width:60.3pt;height:23.3pt;z-index:251662336;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bidi w:val="0"/>
                      </w:pPr>
                      <w:r>
                        <w:rPr>
                          <w:rtl w:val="0"/>
                        </w:rPr>
                        <w:t>Axial MRI</w:t>
                      </w:r>
                    </w:p>
                  </w:txbxContent>
                </v:textbox>
                <w10:wrap type="through" side="bothSides" anchorx="margin"/>
              </v:rect>
            </w:pict>
          </mc:Fallback>
        </mc:AlternateContent>
      </w:r>
    </w:p>
    <w:p>
      <w:pPr>
        <w:pStyle w:val="Padrão"/>
        <w:bidi w:val="0"/>
        <w:spacing w:after="240" w:line="300" w:lineRule="atLeast"/>
        <w:ind w:left="0" w:right="0" w:firstLine="0"/>
        <w:jc w:val="left"/>
        <w:rPr>
          <w:rtl w:val="0"/>
        </w:rPr>
      </w:pPr>
    </w:p>
    <w:p>
      <w:pPr>
        <w:pStyle w:val="Padrão"/>
        <w:bidi w:val="0"/>
        <w:spacing w:after="240" w:line="300" w:lineRule="atLeast"/>
        <w:ind w:left="0" w:right="0" w:firstLine="0"/>
        <w:jc w:val="left"/>
        <w:rPr>
          <w:rtl w:val="0"/>
        </w:rPr>
      </w:pPr>
      <w:r>
        <w:rPr>
          <w:rFonts w:ascii="Times New Roman" w:hAnsi="Times New Roman"/>
          <w:i w:val="1"/>
          <w:iCs w:val="1"/>
          <w:sz w:val="24"/>
          <w:szCs w:val="24"/>
          <w:rtl w:val="0"/>
          <w:lang w:val="en-US"/>
        </w:rPr>
        <w:t>The clinical picture of cerebellar involvement is confused between the various lesions in the posterior fossa. The GBM should always be considered as a diagnostic hypothesis of aggressive tumor lesions of cerebellar hemisphere. Treatment is based on the microsurgical exeresis, radiotherapy and chemotherapy.</w:t>
      </w:r>
      <w:r>
        <w:rPr>
          <w:rFonts w:ascii="Times New Roman" w:cs="Times New Roman" w:hAnsi="Times New Roman" w:eastAsia="Times New Roman"/>
          <w:i w:val="1"/>
          <w:iCs w:val="1"/>
          <w:sz w:val="24"/>
          <w:szCs w:val="24"/>
          <w:rtl w:val="0"/>
        </w:rPr>
        <w:drawing>
          <wp:anchor distT="152400" distB="152400" distL="152400" distR="152400" simplePos="0" relativeHeight="251660288" behindDoc="0" locked="0" layoutInCell="1" allowOverlap="1">
            <wp:simplePos x="0" y="0"/>
            <wp:positionH relativeFrom="margin">
              <wp:posOffset>3272599</wp:posOffset>
            </wp:positionH>
            <wp:positionV relativeFrom="line">
              <wp:posOffset>230433</wp:posOffset>
            </wp:positionV>
            <wp:extent cx="1190737" cy="1119121"/>
            <wp:effectExtent l="0" t="0" r="0" b="0"/>
            <wp:wrapTopAndBottom distT="152400" distB="15240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RMN coronal contraste.jpeg"/>
                    <pic:cNvPicPr>
                      <a:picLocks noChangeAspect="1"/>
                    </pic:cNvPicPr>
                  </pic:nvPicPr>
                  <pic:blipFill>
                    <a:blip r:embed="rId5">
                      <a:extLst/>
                    </a:blip>
                    <a:stretch>
                      <a:fillRect/>
                    </a:stretch>
                  </pic:blipFill>
                  <pic:spPr>
                    <a:xfrm>
                      <a:off x="0" y="0"/>
                      <a:ext cx="1190737" cy="1119121"/>
                    </a:xfrm>
                    <a:prstGeom prst="rect">
                      <a:avLst/>
                    </a:prstGeom>
                    <a:ln w="12700" cap="flat">
                      <a:noFill/>
                      <a:miter lim="400000"/>
                    </a:ln>
                    <a:effectLst/>
                  </pic:spPr>
                </pic:pic>
              </a:graphicData>
            </a:graphic>
          </wp:anchor>
        </w:drawing>
      </w:r>
      <w:r>
        <w:rPr>
          <w:rFonts w:ascii="Times New Roman" w:cs="Times New Roman" w:hAnsi="Times New Roman" w:eastAsia="Times New Roman"/>
          <w:i w:val="1"/>
          <w:iCs w:val="1"/>
          <w:sz w:val="24"/>
          <w:szCs w:val="24"/>
          <w:rtl w:val="0"/>
        </w:rPr>
        <w:drawing>
          <wp:anchor distT="152400" distB="152400" distL="152400" distR="152400" simplePos="0" relativeHeight="251661312" behindDoc="0" locked="0" layoutInCell="1" allowOverlap="1">
            <wp:simplePos x="0" y="0"/>
            <wp:positionH relativeFrom="margin">
              <wp:posOffset>4733238</wp:posOffset>
            </wp:positionH>
            <wp:positionV relativeFrom="line">
              <wp:posOffset>246196</wp:posOffset>
            </wp:positionV>
            <wp:extent cx="1299188" cy="1103358"/>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RMN sagital contraste.jpeg"/>
                    <pic:cNvPicPr>
                      <a:picLocks noChangeAspect="1"/>
                    </pic:cNvPicPr>
                  </pic:nvPicPr>
                  <pic:blipFill>
                    <a:blip r:embed="rId6">
                      <a:extLst/>
                    </a:blip>
                    <a:stretch>
                      <a:fillRect/>
                    </a:stretch>
                  </pic:blipFill>
                  <pic:spPr>
                    <a:xfrm>
                      <a:off x="0" y="0"/>
                      <a:ext cx="1299188" cy="1103358"/>
                    </a:xfrm>
                    <a:prstGeom prst="rect">
                      <a:avLst/>
                    </a:prstGeom>
                    <a:ln w="12700" cap="flat">
                      <a:noFill/>
                      <a:miter lim="400000"/>
                    </a:ln>
                    <a:effectLst/>
                  </pic:spPr>
                </pic:pic>
              </a:graphicData>
            </a:graphic>
          </wp:anchor>
        </w:drawing>
      </w:r>
      <w:r>
        <w:rPr>
          <w:rFonts w:ascii="Times New Roman" w:cs="Times New Roman" w:hAnsi="Times New Roman" w:eastAsia="Times New Roman"/>
          <w:i w:val="1"/>
          <w:iCs w:val="1"/>
          <w:sz w:val="24"/>
          <w:szCs w:val="24"/>
          <w:rtl w:val="0"/>
        </w:rPr>
        <mc:AlternateContent>
          <mc:Choice Requires="wps">
            <w:drawing>
              <wp:anchor distT="152400" distB="152400" distL="152400" distR="152400" simplePos="0" relativeHeight="251663360" behindDoc="0" locked="0" layoutInCell="1" allowOverlap="1">
                <wp:simplePos x="0" y="0"/>
                <wp:positionH relativeFrom="margin">
                  <wp:posOffset>3485095</wp:posOffset>
                </wp:positionH>
                <wp:positionV relativeFrom="line">
                  <wp:posOffset>1349553</wp:posOffset>
                </wp:positionV>
                <wp:extent cx="978241" cy="296387"/>
                <wp:effectExtent l="0" t="0" r="0" b="0"/>
                <wp:wrapTopAndBottom distT="152400" distB="152400"/>
                <wp:docPr id="1073741829" name="officeArt object"/>
                <wp:cNvGraphicFramePr/>
                <a:graphic xmlns:a="http://schemas.openxmlformats.org/drawingml/2006/main">
                  <a:graphicData uri="http://schemas.microsoft.com/office/word/2010/wordprocessingShape">
                    <wps:wsp>
                      <wps:cNvSpPr/>
                      <wps:spPr>
                        <a:xfrm>
                          <a:off x="0" y="0"/>
                          <a:ext cx="978241" cy="296387"/>
                        </a:xfrm>
                        <a:prstGeom prst="rect">
                          <a:avLst/>
                        </a:prstGeom>
                        <a:noFill/>
                        <a:ln w="12700" cap="flat">
                          <a:noFill/>
                          <a:miter lim="400000"/>
                        </a:ln>
                        <a:effectLst/>
                      </wps:spPr>
                      <wps:txbx>
                        <w:txbxContent>
                          <w:p>
                            <w:pPr>
                              <w:pStyle w:val="Corpo"/>
                              <w:bidi w:val="0"/>
                            </w:pPr>
                            <w:r>
                              <w:rPr>
                                <w:rtl w:val="0"/>
                              </w:rPr>
                              <w:t>Coronal MRI</w:t>
                            </w:r>
                          </w:p>
                        </w:txbxContent>
                      </wps:txbx>
                      <wps:bodyPr wrap="square" lIns="50800" tIns="50800" rIns="50800" bIns="50800" numCol="1" anchor="t">
                        <a:noAutofit/>
                      </wps:bodyPr>
                    </wps:wsp>
                  </a:graphicData>
                </a:graphic>
              </wp:anchor>
            </w:drawing>
          </mc:Choice>
          <mc:Fallback>
            <w:pict>
              <v:rect id="_x0000_s1027" style="visibility:visible;position:absolute;margin-left:274.4pt;margin-top:106.3pt;width:77.0pt;height:23.3pt;z-index:251663360;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bidi w:val="0"/>
                      </w:pPr>
                      <w:r>
                        <w:rPr>
                          <w:rtl w:val="0"/>
                        </w:rPr>
                        <w:t>Coronal MRI</w:t>
                      </w:r>
                    </w:p>
                  </w:txbxContent>
                </v:textbox>
                <w10:wrap type="topAndBottom" side="bothSides" anchorx="margin"/>
              </v:rect>
            </w:pict>
          </mc:Fallback>
        </mc:AlternateContent>
      </w:r>
      <w:r>
        <w:rPr>
          <w:rFonts w:ascii="Times New Roman" w:cs="Times New Roman" w:hAnsi="Times New Roman" w:eastAsia="Times New Roman"/>
          <w:i w:val="1"/>
          <w:iCs w:val="1"/>
          <w:sz w:val="24"/>
          <w:szCs w:val="24"/>
          <w:rtl w:val="0"/>
        </w:rPr>
        <mc:AlternateContent>
          <mc:Choice Requires="wps">
            <w:drawing>
              <wp:anchor distT="152400" distB="152400" distL="152400" distR="152400" simplePos="0" relativeHeight="251664384" behindDoc="0" locked="0" layoutInCell="1" allowOverlap="1">
                <wp:simplePos x="0" y="0"/>
                <wp:positionH relativeFrom="margin">
                  <wp:posOffset>4893712</wp:posOffset>
                </wp:positionH>
                <wp:positionV relativeFrom="line">
                  <wp:posOffset>1349553</wp:posOffset>
                </wp:positionV>
                <wp:extent cx="978241" cy="296387"/>
                <wp:effectExtent l="0" t="0" r="0" b="0"/>
                <wp:wrapThrough wrapText="bothSides" distL="152400" distR="152400">
                  <wp:wrapPolygon edited="1">
                    <wp:start x="0" y="0"/>
                    <wp:lineTo x="21600" y="0"/>
                    <wp:lineTo x="21600" y="21600"/>
                    <wp:lineTo x="0" y="21600"/>
                    <wp:lineTo x="0" y="0"/>
                  </wp:wrapPolygon>
                </wp:wrapThrough>
                <wp:docPr id="1073741830" name="officeArt object"/>
                <wp:cNvGraphicFramePr/>
                <a:graphic xmlns:a="http://schemas.openxmlformats.org/drawingml/2006/main">
                  <a:graphicData uri="http://schemas.microsoft.com/office/word/2010/wordprocessingShape">
                    <wps:wsp>
                      <wps:cNvSpPr/>
                      <wps:spPr>
                        <a:xfrm>
                          <a:off x="0" y="0"/>
                          <a:ext cx="978241" cy="296387"/>
                        </a:xfrm>
                        <a:prstGeom prst="rect">
                          <a:avLst/>
                        </a:prstGeom>
                        <a:noFill/>
                        <a:ln w="12700" cap="flat">
                          <a:noFill/>
                          <a:miter lim="400000"/>
                        </a:ln>
                        <a:effectLst/>
                      </wps:spPr>
                      <wps:txbx>
                        <w:txbxContent>
                          <w:p>
                            <w:pPr>
                              <w:pStyle w:val="Corpo"/>
                              <w:bidi w:val="0"/>
                            </w:pPr>
                            <w:r>
                              <w:rPr>
                                <w:rtl w:val="0"/>
                              </w:rPr>
                              <w:t>Sagital MRI</w:t>
                            </w:r>
                          </w:p>
                        </w:txbxContent>
                      </wps:txbx>
                      <wps:bodyPr wrap="square" lIns="50800" tIns="50800" rIns="50800" bIns="50800" numCol="1" anchor="t">
                        <a:noAutofit/>
                      </wps:bodyPr>
                    </wps:wsp>
                  </a:graphicData>
                </a:graphic>
              </wp:anchor>
            </w:drawing>
          </mc:Choice>
          <mc:Fallback>
            <w:pict>
              <v:rect id="_x0000_s1028" style="visibility:visible;position:absolute;margin-left:385.3pt;margin-top:106.3pt;width:77.0pt;height:23.3pt;z-index:251664384;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Corpo"/>
                        <w:bidi w:val="0"/>
                      </w:pPr>
                      <w:r>
                        <w:rPr>
                          <w:rtl w:val="0"/>
                        </w:rPr>
                        <w:t>Sagital MRI</w:t>
                      </w:r>
                    </w:p>
                  </w:txbxContent>
                </v:textbox>
                <w10:wrap type="through" side="bothSides" anchorx="margin"/>
              </v:rect>
            </w:pict>
          </mc:Fallback>
        </mc:AlternateContent>
      </w:r>
    </w:p>
    <w:p>
      <w:pPr>
        <w:pStyle w:val="Padrão"/>
        <w:bidi w:val="0"/>
        <w:spacing w:after="240" w:line="300" w:lineRule="atLeast"/>
        <w:ind w:left="0" w:right="0" w:firstLine="0"/>
        <w:jc w:val="left"/>
        <w:rPr>
          <w:rtl w:val="0"/>
        </w:rPr>
      </w:pPr>
      <w:r>
        <w:rPr>
          <w:rFonts w:ascii="Times New Roman" w:hAnsi="Times New Roman"/>
          <w:i w:val="1"/>
          <w:iCs w:val="1"/>
          <w:sz w:val="24"/>
          <w:szCs w:val="24"/>
          <w:rtl w:val="0"/>
          <w:lang w:val="pt-PT"/>
        </w:rPr>
        <w:t xml:space="preserve"> Bibliography</w:t>
      </w:r>
    </w:p>
    <w:p>
      <w:pPr>
        <w:pStyle w:val="Padrão"/>
        <w:numPr>
          <w:ilvl w:val="0"/>
          <w:numId w:val="2"/>
        </w:numPr>
        <w:bidi w:val="0"/>
        <w:spacing w:after="240"/>
        <w:ind w:right="0"/>
        <w:jc w:val="left"/>
        <w:rPr>
          <w:rFonts w:ascii="Times New Roman" w:hAnsi="Times New Roman"/>
          <w:sz w:val="16"/>
          <w:szCs w:val="16"/>
          <w:rtl w:val="0"/>
          <w:lang w:val="de-DE"/>
        </w:rPr>
      </w:pPr>
      <w:r>
        <w:rPr>
          <w:rFonts w:ascii="Times New Roman" w:hAnsi="Times New Roman"/>
          <w:sz w:val="16"/>
          <w:szCs w:val="16"/>
          <w:rtl w:val="0"/>
          <w:lang w:val="de-DE"/>
        </w:rPr>
        <w:t xml:space="preserve">Louis DN, Perry A, Reifenberger G, von Deimling A, Figarella-Branger D, Cavenee WK, et al. Acta Neuropathol. 2016;131(6):803-20. doi: 10.1007/s00401-016-1545-1. </w:t>
      </w:r>
    </w:p>
    <w:p>
      <w:pPr>
        <w:pStyle w:val="Padrão"/>
        <w:numPr>
          <w:ilvl w:val="0"/>
          <w:numId w:val="2"/>
        </w:numPr>
        <w:bidi w:val="0"/>
        <w:spacing w:after="240"/>
        <w:ind w:right="0"/>
        <w:jc w:val="left"/>
        <w:rPr>
          <w:rFonts w:ascii="Times New Roman" w:hAnsi="Times New Roman"/>
          <w:sz w:val="16"/>
          <w:szCs w:val="16"/>
          <w:rtl w:val="0"/>
          <w:lang w:val="en-US"/>
        </w:rPr>
      </w:pPr>
      <w:r>
        <w:rPr>
          <w:rFonts w:ascii="Times New Roman" w:hAnsi="Times New Roman"/>
          <w:sz w:val="16"/>
          <w:szCs w:val="16"/>
          <w:rtl w:val="0"/>
          <w:lang w:val="en-US"/>
        </w:rPr>
        <w:t>Schmidbauer M, Budka H, Bruckner R, Vorkapic P: Glioblastoma developing at the site of a cerebellar medulloblastoma treated 6 years earlier. Case report. Journal of Neurosurgery. 1987;67(6):915</w:t>
      </w:r>
      <w:r>
        <w:rPr>
          <w:rFonts w:ascii="Times New Roman" w:hAnsi="Times New Roman" w:hint="default"/>
          <w:sz w:val="16"/>
          <w:szCs w:val="16"/>
          <w:rtl w:val="0"/>
        </w:rPr>
        <w:t>–</w:t>
      </w:r>
      <w:r>
        <w:rPr>
          <w:rFonts w:ascii="Times New Roman" w:hAnsi="Times New Roman"/>
          <w:sz w:val="16"/>
          <w:szCs w:val="16"/>
          <w:rtl w:val="0"/>
        </w:rPr>
        <w:t xml:space="preserve">918. </w:t>
      </w:r>
    </w:p>
    <w:p>
      <w:pPr>
        <w:pStyle w:val="Padrão"/>
        <w:numPr>
          <w:ilvl w:val="0"/>
          <w:numId w:val="2"/>
        </w:numPr>
        <w:bidi w:val="0"/>
        <w:spacing w:after="240"/>
        <w:ind w:right="0"/>
        <w:jc w:val="left"/>
        <w:rPr>
          <w:rFonts w:ascii="Times New Roman" w:hAnsi="Times New Roman"/>
          <w:sz w:val="16"/>
          <w:szCs w:val="16"/>
          <w:rtl w:val="0"/>
        </w:rPr>
      </w:pPr>
      <w:r>
        <w:rPr>
          <w:rFonts w:ascii="Times New Roman" w:hAnsi="Times New Roman"/>
          <w:sz w:val="16"/>
          <w:szCs w:val="16"/>
          <w:rtl w:val="0"/>
        </w:rPr>
        <w:t xml:space="preserve">Demir MK, Hakan T, Akinci O, Berkman Z. Primary cerebellar glioblastoma multiforme. Diagn Interv Radiol. 2005;11(2):83-6. </w:t>
      </w:r>
    </w:p>
    <w:p>
      <w:pPr>
        <w:pStyle w:val="Padrão"/>
        <w:numPr>
          <w:ilvl w:val="0"/>
          <w:numId w:val="2"/>
        </w:numPr>
        <w:bidi w:val="0"/>
        <w:spacing w:after="240"/>
        <w:ind w:right="0"/>
        <w:jc w:val="left"/>
        <w:rPr>
          <w:rFonts w:ascii="Times New Roman" w:hAnsi="Times New Roman"/>
          <w:sz w:val="16"/>
          <w:szCs w:val="16"/>
          <w:rtl w:val="0"/>
          <w:lang w:val="en-US"/>
        </w:rPr>
      </w:pPr>
      <w:r>
        <w:rPr>
          <w:rFonts w:ascii="Times New Roman" w:hAnsi="Times New Roman"/>
          <w:sz w:val="16"/>
          <w:szCs w:val="16"/>
          <w:rtl w:val="0"/>
          <w:lang w:val="en-US"/>
        </w:rPr>
        <w:t xml:space="preserve">Wang H, Cai S, Bailey BJ, Reza Saadatzadeh M, Ding J, Tonsing-Carter E, et al. Combination therapy in a xenograft model of glioblastoma: enhancement of the anti tumor activity of temozolomide by an MDM2 antagonist. J Neurosurg. 2017;126(2):446-459. doi: 10.3171/2016.1.JNS152513. </w:t>
      </w:r>
    </w:p>
    <w:p>
      <w:pPr>
        <w:pStyle w:val="Padrão"/>
        <w:numPr>
          <w:ilvl w:val="0"/>
          <w:numId w:val="2"/>
        </w:numPr>
        <w:bidi w:val="0"/>
        <w:spacing w:after="240"/>
        <w:ind w:right="0"/>
        <w:jc w:val="left"/>
        <w:rPr>
          <w:rFonts w:ascii="Times New Roman" w:hAnsi="Times New Roman"/>
          <w:sz w:val="16"/>
          <w:szCs w:val="16"/>
          <w:rtl w:val="0"/>
          <w:lang w:val="en-US"/>
        </w:rPr>
      </w:pPr>
      <w:r>
        <w:rPr>
          <w:rFonts w:ascii="Times New Roman" w:hAnsi="Times New Roman"/>
          <w:sz w:val="16"/>
          <w:szCs w:val="16"/>
          <w:rtl w:val="0"/>
          <w:lang w:val="en-US"/>
        </w:rPr>
        <w:t xml:space="preserve">Clark PA, Bhattacharya S, Elmayan A, Darjatmoko SR, Thuro BA, Yan MB, et al. Resveratrol targeting of AKT and p53 in glioblastoma and glioblastoma stem-like cells to suppress growth and infiltration. 2017; 126:1448-1460. doi: 10.3171/2016.1.JNS152077. </w:t>
      </w:r>
    </w:p>
    <w:p>
      <w:pPr>
        <w:pStyle w:val="Padrão"/>
        <w:numPr>
          <w:ilvl w:val="0"/>
          <w:numId w:val="2"/>
        </w:numPr>
        <w:bidi w:val="0"/>
        <w:spacing w:after="240"/>
        <w:ind w:right="0"/>
        <w:jc w:val="left"/>
        <w:rPr>
          <w:rFonts w:ascii="Times New Roman" w:hAnsi="Times New Roman"/>
          <w:sz w:val="16"/>
          <w:szCs w:val="16"/>
          <w:rtl w:val="0"/>
          <w:lang w:val="it-IT"/>
        </w:rPr>
      </w:pPr>
      <w:r>
        <w:rPr>
          <w:rFonts w:ascii="Times New Roman" w:hAnsi="Times New Roman"/>
          <w:sz w:val="16"/>
          <w:szCs w:val="16"/>
          <w:rtl w:val="0"/>
          <w:lang w:val="it-IT"/>
        </w:rPr>
        <w:t xml:space="preserve">Ohtaki S, Wanibuchi M, Kataoka-Sasaki Y, Sasaki M, Oka S, Noshiro S, et al. ACTC1 as an invasion and prognosis marker in glioma. J Neurosurg. 2017;126(2):467-475. doi: 10.3171/2016.1.JNS152075.. </w:t>
      </w:r>
    </w:p>
    <w:p>
      <w:pPr>
        <w:pStyle w:val="Padrão"/>
        <w:numPr>
          <w:ilvl w:val="0"/>
          <w:numId w:val="2"/>
        </w:numPr>
        <w:bidi w:val="0"/>
        <w:spacing w:after="240"/>
        <w:ind w:right="0"/>
        <w:jc w:val="left"/>
        <w:rPr>
          <w:rFonts w:ascii="Times New Roman" w:hAnsi="Times New Roman"/>
          <w:sz w:val="16"/>
          <w:szCs w:val="16"/>
          <w:rtl w:val="0"/>
          <w:lang w:val="de-DE"/>
        </w:rPr>
      </w:pPr>
      <w:r>
        <w:rPr>
          <w:rFonts w:ascii="Times New Roman" w:hAnsi="Times New Roman"/>
          <w:sz w:val="16"/>
          <w:szCs w:val="16"/>
          <w:rtl w:val="0"/>
          <w:lang w:val="de-DE"/>
        </w:rPr>
        <w:t>El El Maaqili MR, Hossini A, El Fatemi N, Gana R, Sa</w:t>
      </w:r>
      <w:r>
        <w:rPr>
          <w:rFonts w:ascii="Times New Roman" w:hAnsi="Times New Roman" w:hint="default"/>
          <w:sz w:val="16"/>
          <w:szCs w:val="16"/>
          <w:rtl w:val="0"/>
          <w:lang w:val="nl-NL"/>
        </w:rPr>
        <w:t>ï</w:t>
      </w:r>
      <w:r>
        <w:rPr>
          <w:rFonts w:ascii="Times New Roman" w:hAnsi="Times New Roman"/>
          <w:sz w:val="16"/>
          <w:szCs w:val="16"/>
          <w:rtl w:val="0"/>
          <w:lang w:val="en-US"/>
        </w:rPr>
        <w:t xml:space="preserve">di A, Jiddane M, et al. Primary glioblastoma of the cerebellum in a 19-year-old woman: a case report. J Med Case Rep. 2012;6:329. doi: 10.1186/1752-1947-6-329. </w:t>
      </w:r>
    </w:p>
    <w:p>
      <w:pPr>
        <w:pStyle w:val="Padrão"/>
        <w:numPr>
          <w:ilvl w:val="0"/>
          <w:numId w:val="2"/>
        </w:numPr>
        <w:bidi w:val="0"/>
        <w:spacing w:after="240"/>
        <w:ind w:right="0"/>
        <w:jc w:val="left"/>
        <w:rPr>
          <w:rFonts w:ascii="Times New Roman" w:hAnsi="Times New Roman"/>
          <w:sz w:val="16"/>
          <w:szCs w:val="16"/>
          <w:rtl w:val="0"/>
          <w:lang w:val="it-IT"/>
        </w:rPr>
      </w:pPr>
      <w:r>
        <w:rPr>
          <w:rFonts w:ascii="Times New Roman" w:hAnsi="Times New Roman"/>
          <w:sz w:val="16"/>
          <w:szCs w:val="16"/>
          <w:rtl w:val="0"/>
          <w:lang w:val="it-IT"/>
        </w:rPr>
        <w:t xml:space="preserve">Grahovac G, Tomac D, Lambasa S, Zoric A, Habek M. Cerebellar glioblastomas: pathophysiology, clinical presentation and management. Acta Neurochir (Wien). 2009;151(6):653-7. doi: 10.1007/s00701-009-0286-5. </w:t>
      </w:r>
    </w:p>
    <w:p>
      <w:pPr>
        <w:pStyle w:val="Padrão"/>
        <w:numPr>
          <w:ilvl w:val="0"/>
          <w:numId w:val="2"/>
        </w:numPr>
        <w:bidi w:val="0"/>
        <w:spacing w:after="240"/>
        <w:ind w:right="0"/>
        <w:jc w:val="left"/>
        <w:rPr>
          <w:rFonts w:ascii="Times New Roman" w:hAnsi="Times New Roman"/>
          <w:sz w:val="16"/>
          <w:szCs w:val="16"/>
          <w:rtl w:val="0"/>
          <w:lang w:val="en-US"/>
        </w:rPr>
      </w:pPr>
      <w:r>
        <w:rPr>
          <w:rFonts w:ascii="Times New Roman" w:hAnsi="Times New Roman"/>
          <w:sz w:val="16"/>
          <w:szCs w:val="16"/>
          <w:rtl w:val="0"/>
          <w:lang w:val="en-US"/>
        </w:rPr>
        <w:t xml:space="preserve">Menon G, Nair S, Rajesh BJ, Rao BR, Radhakrishnan VV. Malignant astrocytoma following radiotherapy for craniopharyngioma. J Cancer Res Ther. 2007;3(1):50-2. </w:t>
      </w:r>
    </w:p>
    <w:p>
      <w:pPr>
        <w:pStyle w:val="Padrão"/>
        <w:numPr>
          <w:ilvl w:val="0"/>
          <w:numId w:val="3"/>
        </w:numPr>
        <w:bidi w:val="0"/>
        <w:spacing w:after="240"/>
        <w:ind w:right="0"/>
        <w:jc w:val="left"/>
        <w:rPr>
          <w:rFonts w:ascii="Times New Roman" w:hAnsi="Times New Roman"/>
          <w:i w:val="1"/>
          <w:iCs w:val="1"/>
          <w:sz w:val="16"/>
          <w:szCs w:val="16"/>
          <w:rtl w:val="0"/>
          <w:lang w:val="pt-PT"/>
        </w:rPr>
      </w:pPr>
      <w:r>
        <w:rPr>
          <w:rFonts w:ascii="Times New Roman" w:hAnsi="Times New Roman"/>
          <w:i w:val="0"/>
          <w:iCs w:val="0"/>
          <w:sz w:val="16"/>
          <w:szCs w:val="16"/>
          <w:rtl w:val="0"/>
          <w:lang w:val="pt-PT"/>
        </w:rPr>
        <w:t xml:space="preserve">Mattos JP, Marenco HA, Campos JM, Faria AV, Queiroz LS, Borges G, Oliveira Ed.. Cerebellar Glioblastoma Multiforme in an Adult. Arq Neuropsiquiatr. 2006;64(1):132-5. doi: /S0004- 2X2006000100028. </w:t>
      </w:r>
      <w:r>
        <w:rPr>
          <w:rFonts w:ascii="Arial Unicode MS" w:cs="Arial Unicode MS" w:hAnsi="Arial Unicode MS" w:eastAsia="Arial Unicode MS"/>
          <w:b w:val="0"/>
          <w:bCs w:val="0"/>
          <w:i w:val="0"/>
          <w:iCs w:val="0"/>
          <w:sz w:val="20"/>
          <w:szCs w:val="20"/>
          <w:rtl w:val="0"/>
        </w:rPr>
        <w:br w:type="textWrapping"/>
      </w:r>
    </w:p>
    <w:sectPr>
      <w:headerReference w:type="default" r:id="rId7"/>
      <w:footerReference w:type="default" r:id="rId8"/>
      <w:pgSz w:w="11906" w:h="16838" w:orient="portrait"/>
      <w:pgMar w:top="1134" w:right="1134" w:bottom="1134" w:left="1134" w:header="709" w:footer="850"/>
      <w:cols w:space="482" w:num="2" w:equalWidth="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úmeros"/>
  </w:abstractNum>
  <w:abstractNum w:abstractNumId="1">
    <w:multiLevelType w:val="hybridMultilevel"/>
    <w:styleLink w:val="Números"/>
    <w:lvl w:ilvl="0">
      <w:start w:val="1"/>
      <w:numFmt w:val="decimal"/>
      <w:suff w:val="tab"/>
      <w:lvlText w:val="%1."/>
      <w:lvlJc w:val="left"/>
      <w:pPr>
        <w:tabs>
          <w:tab w:val="num" w:pos="262"/>
          <w:tab w:val="left" w:pos="720"/>
        </w:tabs>
        <w:ind w:left="982" w:hanging="98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220"/>
          <w:tab w:val="num" w:pos="622"/>
          <w:tab w:val="left" w:pos="720"/>
        </w:tabs>
        <w:ind w:left="1342" w:hanging="9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220"/>
          <w:tab w:val="left" w:pos="720"/>
          <w:tab w:val="num" w:pos="982"/>
        </w:tabs>
        <w:ind w:left="1702" w:hanging="9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220"/>
          <w:tab w:val="left" w:pos="720"/>
          <w:tab w:val="num" w:pos="1342"/>
        </w:tabs>
        <w:ind w:left="2062" w:hanging="98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220"/>
          <w:tab w:val="left" w:pos="720"/>
          <w:tab w:val="num" w:pos="1702"/>
        </w:tabs>
        <w:ind w:left="2422" w:hanging="98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220"/>
          <w:tab w:val="left" w:pos="720"/>
          <w:tab w:val="num" w:pos="2062"/>
        </w:tabs>
        <w:ind w:left="2782" w:hanging="9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220"/>
          <w:tab w:val="left" w:pos="720"/>
          <w:tab w:val="num" w:pos="2422"/>
        </w:tabs>
        <w:ind w:left="3142" w:hanging="98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220"/>
          <w:tab w:val="left" w:pos="720"/>
          <w:tab w:val="num" w:pos="2782"/>
        </w:tabs>
        <w:ind w:left="3502" w:hanging="98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220"/>
          <w:tab w:val="left" w:pos="720"/>
          <w:tab w:val="num" w:pos="3142"/>
        </w:tabs>
        <w:ind w:left="3862" w:hanging="98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tabs>
            <w:tab w:val="num" w:pos="327"/>
            <w:tab w:val="left" w:pos="720"/>
          </w:tabs>
          <w:ind w:left="1047" w:hanging="1047"/>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tabs>
            <w:tab w:val="left" w:pos="220"/>
            <w:tab w:val="num" w:pos="687"/>
            <w:tab w:val="left" w:pos="720"/>
          </w:tabs>
          <w:ind w:left="1407" w:hanging="1047"/>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220"/>
            <w:tab w:val="left" w:pos="720"/>
            <w:tab w:val="num" w:pos="1047"/>
          </w:tabs>
          <w:ind w:left="1767" w:hanging="1047"/>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220"/>
            <w:tab w:val="left" w:pos="720"/>
            <w:tab w:val="num" w:pos="1407"/>
          </w:tabs>
          <w:ind w:left="2127" w:hanging="1047"/>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220"/>
            <w:tab w:val="left" w:pos="720"/>
            <w:tab w:val="num" w:pos="1767"/>
          </w:tabs>
          <w:ind w:left="2487" w:hanging="1047"/>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220"/>
            <w:tab w:val="left" w:pos="720"/>
            <w:tab w:val="num" w:pos="2127"/>
          </w:tabs>
          <w:ind w:left="2847" w:hanging="1047"/>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220"/>
            <w:tab w:val="left" w:pos="720"/>
            <w:tab w:val="num" w:pos="2487"/>
          </w:tabs>
          <w:ind w:left="3207" w:hanging="1047"/>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220"/>
            <w:tab w:val="left" w:pos="720"/>
            <w:tab w:val="num" w:pos="2847"/>
          </w:tabs>
          <w:ind w:left="3567" w:hanging="1047"/>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220"/>
            <w:tab w:val="left" w:pos="720"/>
            <w:tab w:val="num" w:pos="3207"/>
          </w:tabs>
          <w:ind w:left="3927" w:hanging="1047"/>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Padrão">
    <w:name w:val="Padrão"/>
    <w:next w:val="Padrã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Corpo">
    <w:name w:val="Corpo"/>
    <w:next w:val="Corp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pt-PT"/>
    </w:rPr>
  </w:style>
  <w:style w:type="numbering" w:styleId="Números">
    <w:name w:val="Números"/>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