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849" w:rsidRDefault="00D63849" w:rsidP="00D63849">
      <w:pPr>
        <w:tabs>
          <w:tab w:val="left" w:pos="1223"/>
        </w:tabs>
        <w:spacing w:line="360" w:lineRule="auto"/>
        <w:jc w:val="right"/>
        <w:rPr>
          <w:b/>
          <w:bCs/>
          <w:sz w:val="28"/>
          <w:szCs w:val="36"/>
        </w:rPr>
      </w:pPr>
      <w:r w:rsidRPr="00D63849">
        <w:rPr>
          <w:b/>
          <w:bCs/>
          <w:sz w:val="28"/>
          <w:szCs w:val="36"/>
        </w:rPr>
        <w:t>Neuroprotective effect of exogenous melatonin</w:t>
      </w:r>
      <w:r w:rsidRPr="00D63849">
        <w:rPr>
          <w:b/>
          <w:bCs/>
          <w:sz w:val="28"/>
          <w:szCs w:val="36"/>
        </w:rPr>
        <w:t xml:space="preserve"> </w:t>
      </w:r>
      <w:r w:rsidRPr="00D63849">
        <w:rPr>
          <w:b/>
          <w:bCs/>
          <w:sz w:val="28"/>
          <w:szCs w:val="36"/>
        </w:rPr>
        <w:t>on apoptosis of neuroadernergic neurons  in locus coeruleus of adult male rats</w:t>
      </w:r>
      <w:r w:rsidRPr="00D63849">
        <w:rPr>
          <w:b/>
          <w:bCs/>
          <w:sz w:val="28"/>
          <w:szCs w:val="36"/>
        </w:rPr>
        <w:t xml:space="preserve"> </w:t>
      </w:r>
      <w:r w:rsidRPr="00D63849">
        <w:rPr>
          <w:b/>
          <w:bCs/>
          <w:sz w:val="28"/>
          <w:szCs w:val="36"/>
        </w:rPr>
        <w:t>after REM sleep deprivation</w:t>
      </w:r>
    </w:p>
    <w:p w:rsidR="000C484A" w:rsidRPr="000C484A" w:rsidRDefault="000C484A" w:rsidP="000C484A">
      <w:pPr>
        <w:bidi w:val="0"/>
        <w:spacing w:after="200" w:line="360" w:lineRule="auto"/>
        <w:jc w:val="both"/>
        <w:rPr>
          <w:rFonts w:cs="Times New Roman"/>
          <w:b/>
          <w:bCs/>
          <w:i/>
          <w:iCs/>
          <w:szCs w:val="24"/>
          <w:lang w:bidi="ar-SA"/>
        </w:rPr>
      </w:pPr>
    </w:p>
    <w:p w:rsidR="000C484A" w:rsidRPr="000C484A" w:rsidRDefault="000C484A" w:rsidP="000C484A">
      <w:pPr>
        <w:bidi w:val="0"/>
        <w:spacing w:after="200" w:line="276" w:lineRule="auto"/>
        <w:rPr>
          <w:rFonts w:ascii="Calibri" w:hAnsi="Calibri" w:cs="Arial"/>
          <w:sz w:val="22"/>
          <w:szCs w:val="22"/>
          <w:lang w:bidi="ar-SA"/>
        </w:rPr>
      </w:pPr>
      <w:r w:rsidRPr="000C484A">
        <w:rPr>
          <w:rFonts w:cs="Times New Roman"/>
          <w:b/>
          <w:bCs/>
          <w:i/>
          <w:iCs/>
          <w:szCs w:val="24"/>
          <w:lang w:bidi="ar-SA"/>
        </w:rPr>
        <w:t>Authors:</w:t>
      </w:r>
      <w:r w:rsidRPr="000C484A">
        <w:rPr>
          <w:rFonts w:ascii="Calibri" w:hAnsi="Calibri" w:cs="Arial"/>
          <w:sz w:val="22"/>
          <w:szCs w:val="22"/>
          <w:lang w:bidi="ar-SA"/>
        </w:rPr>
        <w:t xml:space="preserve"> </w:t>
      </w:r>
      <w:r w:rsidRPr="000C484A">
        <w:rPr>
          <w:rFonts w:cs="Times New Roman"/>
          <w:i/>
          <w:iCs/>
          <w:szCs w:val="24"/>
          <w:lang w:bidi="ar-SA"/>
        </w:rPr>
        <w:t>Mesgar S</w:t>
      </w:r>
      <w:r w:rsidRPr="000C484A">
        <w:rPr>
          <w:rFonts w:cs="Times New Roman"/>
          <w:i/>
          <w:iCs/>
          <w:szCs w:val="24"/>
          <w:vertAlign w:val="superscript"/>
          <w:lang w:bidi="ar-SA"/>
        </w:rPr>
        <w:t>1</w:t>
      </w:r>
      <w:r w:rsidRPr="000C484A">
        <w:rPr>
          <w:rFonts w:ascii="Calibri" w:hAnsi="Calibri" w:cs="Arial"/>
          <w:sz w:val="22"/>
          <w:szCs w:val="22"/>
          <w:lang w:bidi="ar-SA"/>
        </w:rPr>
        <w:t xml:space="preserve">, </w:t>
      </w:r>
      <w:r w:rsidRPr="000C484A">
        <w:rPr>
          <w:rFonts w:cs="Times New Roman"/>
          <w:i/>
          <w:iCs/>
          <w:szCs w:val="24"/>
          <w:lang w:bidi="ar-SA"/>
        </w:rPr>
        <w:t>Aghaie A</w:t>
      </w:r>
      <w:r w:rsidRPr="000C484A">
        <w:rPr>
          <w:rFonts w:cs="Times New Roman"/>
          <w:i/>
          <w:iCs/>
          <w:szCs w:val="24"/>
          <w:vertAlign w:val="superscript"/>
          <w:lang w:bidi="ar-SA"/>
        </w:rPr>
        <w:t>1</w:t>
      </w:r>
      <w:r w:rsidRPr="000C484A">
        <w:rPr>
          <w:rFonts w:ascii="Calibri" w:hAnsi="Calibri" w:cs="Arial"/>
          <w:sz w:val="22"/>
          <w:szCs w:val="22"/>
          <w:lang w:bidi="ar-SA"/>
        </w:rPr>
        <w:t xml:space="preserve">, </w:t>
      </w:r>
      <w:r w:rsidRPr="000C484A">
        <w:rPr>
          <w:rFonts w:cs="Times New Roman"/>
          <w:i/>
          <w:iCs/>
          <w:szCs w:val="24"/>
          <w:lang w:bidi="ar-SA"/>
        </w:rPr>
        <w:t>Jameie SB</w:t>
      </w:r>
      <w:r w:rsidRPr="000C484A">
        <w:rPr>
          <w:rFonts w:cs="Times New Roman"/>
          <w:i/>
          <w:iCs/>
          <w:szCs w:val="24"/>
          <w:vertAlign w:val="superscript"/>
          <w:lang w:bidi="ar-SA"/>
        </w:rPr>
        <w:t>2</w:t>
      </w:r>
      <w:r w:rsidRPr="000C484A">
        <w:rPr>
          <w:rFonts w:ascii="Calibri" w:hAnsi="Calibri" w:cs="Arial"/>
          <w:sz w:val="22"/>
          <w:szCs w:val="22"/>
          <w:lang w:bidi="ar-SA"/>
        </w:rPr>
        <w:t xml:space="preserve">, </w:t>
      </w:r>
      <w:r w:rsidRPr="000C484A">
        <w:rPr>
          <w:rFonts w:cs="Times New Roman"/>
          <w:i/>
          <w:iCs/>
          <w:szCs w:val="24"/>
          <w:lang w:bidi="ar-SA"/>
        </w:rPr>
        <w:t>Sadeghy Y</w:t>
      </w:r>
      <w:r w:rsidRPr="000C484A">
        <w:rPr>
          <w:rFonts w:cs="Times New Roman"/>
          <w:i/>
          <w:iCs/>
          <w:szCs w:val="24"/>
          <w:vertAlign w:val="superscript"/>
          <w:lang w:bidi="ar-SA"/>
        </w:rPr>
        <w:t>1</w:t>
      </w:r>
    </w:p>
    <w:p w:rsidR="000C484A" w:rsidRPr="000C484A" w:rsidRDefault="000C484A" w:rsidP="000C484A">
      <w:pPr>
        <w:bidi w:val="0"/>
        <w:spacing w:after="200" w:line="360" w:lineRule="auto"/>
        <w:jc w:val="both"/>
        <w:rPr>
          <w:rFonts w:cs="Times New Roman"/>
          <w:b/>
          <w:bCs/>
          <w:i/>
          <w:iCs/>
          <w:szCs w:val="24"/>
        </w:rPr>
      </w:pPr>
    </w:p>
    <w:p w:rsidR="000C484A" w:rsidRPr="000C484A" w:rsidRDefault="000C484A" w:rsidP="000C484A">
      <w:pPr>
        <w:bidi w:val="0"/>
        <w:spacing w:after="200" w:line="360" w:lineRule="auto"/>
        <w:jc w:val="both"/>
        <w:rPr>
          <w:rFonts w:cs="Times New Roman"/>
          <w:b/>
          <w:bCs/>
          <w:i/>
          <w:iCs/>
          <w:szCs w:val="24"/>
          <w:lang w:bidi="ar-SA"/>
        </w:rPr>
      </w:pPr>
      <w:r w:rsidRPr="000C484A">
        <w:rPr>
          <w:rFonts w:cs="Times New Roman"/>
          <w:b/>
          <w:bCs/>
          <w:i/>
          <w:iCs/>
          <w:szCs w:val="24"/>
          <w:lang w:bidi="ar-SA"/>
        </w:rPr>
        <w:t>Address:</w:t>
      </w:r>
    </w:p>
    <w:p w:rsidR="000C484A" w:rsidRPr="000C484A" w:rsidRDefault="000C484A" w:rsidP="000C484A">
      <w:pPr>
        <w:bidi w:val="0"/>
        <w:spacing w:after="200" w:line="360" w:lineRule="auto"/>
        <w:jc w:val="both"/>
        <w:rPr>
          <w:rFonts w:cs="Times New Roman"/>
          <w:i/>
          <w:iCs/>
          <w:szCs w:val="24"/>
          <w:lang w:bidi="ar-SA"/>
        </w:rPr>
      </w:pPr>
      <w:r w:rsidRPr="000C484A">
        <w:rPr>
          <w:rFonts w:cs="Times New Roman"/>
          <w:i/>
          <w:iCs/>
          <w:szCs w:val="24"/>
          <w:vertAlign w:val="superscript"/>
          <w:lang w:bidi="ar-SA"/>
        </w:rPr>
        <w:t>1</w:t>
      </w:r>
      <w:r w:rsidRPr="000C484A">
        <w:rPr>
          <w:rFonts w:cs="Times New Roman"/>
          <w:i/>
          <w:iCs/>
          <w:szCs w:val="24"/>
          <w:lang w:bidi="ar-SA"/>
        </w:rPr>
        <w:t xml:space="preserve"> Department of Anatomy, Faculty of Medicine, SbUMS, Tehran, Iran.</w:t>
      </w:r>
    </w:p>
    <w:p w:rsidR="000C484A" w:rsidRPr="000C484A" w:rsidRDefault="000C484A" w:rsidP="000C484A">
      <w:pPr>
        <w:bidi w:val="0"/>
        <w:spacing w:after="200" w:line="360" w:lineRule="auto"/>
        <w:jc w:val="both"/>
        <w:rPr>
          <w:rFonts w:cs="Times New Roman"/>
          <w:i/>
          <w:iCs/>
          <w:szCs w:val="24"/>
          <w:lang w:bidi="ar-SA"/>
        </w:rPr>
      </w:pPr>
      <w:r w:rsidRPr="000C484A">
        <w:rPr>
          <w:rFonts w:cs="Times New Roman"/>
          <w:i/>
          <w:iCs/>
          <w:szCs w:val="24"/>
          <w:vertAlign w:val="superscript"/>
          <w:lang w:bidi="ar-SA"/>
        </w:rPr>
        <w:t>2</w:t>
      </w:r>
      <w:r w:rsidRPr="000C484A">
        <w:rPr>
          <w:rFonts w:cs="Times New Roman"/>
          <w:i/>
          <w:iCs/>
          <w:szCs w:val="24"/>
          <w:lang w:bidi="ar-SA"/>
        </w:rPr>
        <w:t xml:space="preserve"> Department of Medical Basic Sciences, Fac of Allied Med, IUMS, Tehran, Iran.</w:t>
      </w:r>
    </w:p>
    <w:p w:rsidR="00D63849" w:rsidRDefault="00D63849" w:rsidP="00D63849">
      <w:pPr>
        <w:tabs>
          <w:tab w:val="left" w:pos="1223"/>
        </w:tabs>
        <w:spacing w:line="360" w:lineRule="auto"/>
        <w:rPr>
          <w:szCs w:val="34"/>
          <w:rtl/>
        </w:rPr>
      </w:pPr>
    </w:p>
    <w:p w:rsidR="00633B70" w:rsidRPr="00F3360E" w:rsidRDefault="00633B70" w:rsidP="00633B70">
      <w:pPr>
        <w:tabs>
          <w:tab w:val="left" w:pos="1223"/>
        </w:tabs>
        <w:spacing w:line="360" w:lineRule="auto"/>
        <w:jc w:val="right"/>
        <w:rPr>
          <w:b/>
          <w:bCs/>
          <w:szCs w:val="34"/>
        </w:rPr>
      </w:pPr>
      <w:r w:rsidRPr="00F3360E">
        <w:rPr>
          <w:b/>
          <w:bCs/>
          <w:szCs w:val="34"/>
        </w:rPr>
        <w:t>Abstract</w:t>
      </w:r>
    </w:p>
    <w:p w:rsidR="00633B70" w:rsidRPr="00F3360E" w:rsidRDefault="00633B70" w:rsidP="00633B70">
      <w:pPr>
        <w:tabs>
          <w:tab w:val="left" w:pos="1223"/>
        </w:tabs>
        <w:spacing w:line="360" w:lineRule="auto"/>
        <w:jc w:val="right"/>
        <w:rPr>
          <w:b/>
          <w:bCs/>
          <w:szCs w:val="34"/>
        </w:rPr>
      </w:pPr>
    </w:p>
    <w:p w:rsidR="00BF151A" w:rsidRPr="00F3360E" w:rsidRDefault="00633B70" w:rsidP="00BF151A">
      <w:pPr>
        <w:tabs>
          <w:tab w:val="left" w:pos="1223"/>
        </w:tabs>
        <w:spacing w:line="360" w:lineRule="auto"/>
        <w:jc w:val="right"/>
        <w:rPr>
          <w:szCs w:val="34"/>
        </w:rPr>
      </w:pPr>
      <w:r w:rsidRPr="00F3360E">
        <w:rPr>
          <w:b/>
          <w:bCs/>
          <w:szCs w:val="34"/>
        </w:rPr>
        <w:t>Introduction</w:t>
      </w:r>
      <w:r w:rsidRPr="00F3360E">
        <w:rPr>
          <w:szCs w:val="34"/>
        </w:rPr>
        <w:t>: Sleep as a widespread physiological phenomenon is seen in all vertebrates. In primates as human, the sleep consists of two components REM &amp; non-REM. One of the major centers involved in the control of REM sleep is Locus Coeruleus. REM sleep deprivation causes neural death in the LC. In the present study, we administered melatonin as an antioxidant factor and neuroprotective agent to prevent neural death.</w:t>
      </w:r>
    </w:p>
    <w:p w:rsidR="00633B70" w:rsidRPr="00F3360E" w:rsidRDefault="00633B70" w:rsidP="00BF151A">
      <w:pPr>
        <w:tabs>
          <w:tab w:val="left" w:pos="1223"/>
        </w:tabs>
        <w:spacing w:line="360" w:lineRule="auto"/>
        <w:jc w:val="right"/>
        <w:rPr>
          <w:szCs w:val="34"/>
          <w:rtl/>
        </w:rPr>
      </w:pPr>
      <w:r w:rsidRPr="00F3360E">
        <w:rPr>
          <w:b/>
          <w:bCs/>
          <w:szCs w:val="34"/>
        </w:rPr>
        <w:t>Material &amp; methods</w:t>
      </w:r>
      <w:r w:rsidRPr="00F3360E">
        <w:rPr>
          <w:szCs w:val="34"/>
        </w:rPr>
        <w:t xml:space="preserve">: In this study, the </w:t>
      </w:r>
      <w:r w:rsidRPr="00F3360E">
        <w:rPr>
          <w:i/>
          <w:iCs/>
          <w:szCs w:val="34"/>
        </w:rPr>
        <w:t>Flowerpot</w:t>
      </w:r>
      <w:r w:rsidRPr="00F3360E">
        <w:rPr>
          <w:szCs w:val="34"/>
        </w:rPr>
        <w:t xml:space="preserve"> approach has been used to induce RSD. Melatonin was administered for 7 days, the count &amp; the volume of the LC neurons examined due to stereology methods. The enzymatic test for GSH &amp; measurement of Caspase-3 &amp; C-Fos was done to assess the antioxidant property and apoptosis process and neural activity respectively. Immunohistochemistry of Anti-TH factors was done to assess the noradrenergic neurons and the Iba-1 test was also done to show the microglial migration.</w:t>
      </w:r>
    </w:p>
    <w:p w:rsidR="00633B70" w:rsidRPr="00F3360E" w:rsidRDefault="00633B70" w:rsidP="00BF151A">
      <w:pPr>
        <w:tabs>
          <w:tab w:val="left" w:pos="1223"/>
        </w:tabs>
        <w:spacing w:line="360" w:lineRule="auto"/>
        <w:jc w:val="right"/>
        <w:rPr>
          <w:szCs w:val="34"/>
          <w:rtl/>
        </w:rPr>
      </w:pPr>
      <w:r w:rsidRPr="00F3360E">
        <w:rPr>
          <w:b/>
          <w:bCs/>
          <w:szCs w:val="34"/>
        </w:rPr>
        <w:t>Results</w:t>
      </w:r>
      <w:r w:rsidRPr="00F3360E">
        <w:rPr>
          <w:szCs w:val="34"/>
        </w:rPr>
        <w:t xml:space="preserve">: According to the papers the RSD cause neural apoptosis in LC. Melatonin leads to a reduction in the level of apoptotic factor Caspase-3 expression followed by RSD. According to stereology analysis, the count of adrenergic neurons &amp; the volume of the nucleus reduces after RSD &amp; in the administered-melatonin group the apoptotic protein Caspase-3 reduces to prevent </w:t>
      </w:r>
      <w:r w:rsidRPr="00F3360E">
        <w:rPr>
          <w:szCs w:val="34"/>
        </w:rPr>
        <w:lastRenderedPageBreak/>
        <w:t>neural death. Microglial migration to the LC occurs after neural death and the melatonin increases GSH levels in RSD group finally.</w:t>
      </w:r>
    </w:p>
    <w:p w:rsidR="00633B70" w:rsidRPr="00F3360E" w:rsidRDefault="00633B70" w:rsidP="00BF151A">
      <w:pPr>
        <w:tabs>
          <w:tab w:val="left" w:pos="1223"/>
        </w:tabs>
        <w:spacing w:line="360" w:lineRule="auto"/>
        <w:jc w:val="right"/>
        <w:rPr>
          <w:szCs w:val="34"/>
          <w:rtl/>
        </w:rPr>
      </w:pPr>
      <w:r w:rsidRPr="00F3360E">
        <w:rPr>
          <w:b/>
          <w:bCs/>
          <w:szCs w:val="34"/>
        </w:rPr>
        <w:t>Conclusion</w:t>
      </w:r>
      <w:r w:rsidRPr="00F3360E">
        <w:rPr>
          <w:szCs w:val="34"/>
        </w:rPr>
        <w:t>: Melatonin with neuroprotective property can be used to treatment of adrenergic-depended sleep disorders &amp; prevention of neural apoptosis in LC.</w:t>
      </w:r>
    </w:p>
    <w:p w:rsidR="00BF151A" w:rsidRDefault="00633B70" w:rsidP="000C484A">
      <w:pPr>
        <w:tabs>
          <w:tab w:val="left" w:pos="1223"/>
        </w:tabs>
        <w:spacing w:line="360" w:lineRule="auto"/>
        <w:jc w:val="right"/>
        <w:rPr>
          <w:szCs w:val="34"/>
        </w:rPr>
      </w:pPr>
      <w:r w:rsidRPr="00F3360E">
        <w:rPr>
          <w:b/>
          <w:bCs/>
          <w:szCs w:val="34"/>
        </w:rPr>
        <w:t>Keywords</w:t>
      </w:r>
      <w:r w:rsidRPr="00F3360E">
        <w:rPr>
          <w:szCs w:val="34"/>
        </w:rPr>
        <w:t>: Locus Ceoruleus, Melatonin, RSD, apoptosis, oxidative stress</w:t>
      </w:r>
    </w:p>
    <w:p w:rsidR="00BF151A" w:rsidRDefault="00BF151A" w:rsidP="00633B70">
      <w:pPr>
        <w:tabs>
          <w:tab w:val="left" w:pos="1223"/>
        </w:tabs>
        <w:spacing w:line="360" w:lineRule="auto"/>
        <w:jc w:val="right"/>
        <w:rPr>
          <w:szCs w:val="34"/>
        </w:rPr>
      </w:pPr>
    </w:p>
    <w:p w:rsidR="00BF151A" w:rsidRDefault="00BF151A" w:rsidP="00633B70">
      <w:pPr>
        <w:tabs>
          <w:tab w:val="left" w:pos="1223"/>
        </w:tabs>
        <w:spacing w:line="360" w:lineRule="auto"/>
        <w:jc w:val="right"/>
        <w:rPr>
          <w:b/>
          <w:bCs/>
          <w:szCs w:val="34"/>
        </w:rPr>
      </w:pPr>
      <w:r w:rsidRPr="00BF151A">
        <w:rPr>
          <w:b/>
          <w:bCs/>
          <w:szCs w:val="34"/>
        </w:rPr>
        <w:t xml:space="preserve">Image </w:t>
      </w:r>
    </w:p>
    <w:p w:rsidR="00BF151A" w:rsidRDefault="00BF151A" w:rsidP="00633B70">
      <w:pPr>
        <w:tabs>
          <w:tab w:val="left" w:pos="1223"/>
        </w:tabs>
        <w:spacing w:line="360" w:lineRule="auto"/>
        <w:jc w:val="right"/>
        <w:rPr>
          <w:b/>
          <w:bCs/>
          <w:szCs w:val="34"/>
        </w:rPr>
      </w:pPr>
    </w:p>
    <w:p w:rsidR="00BF151A" w:rsidRDefault="00D63849" w:rsidP="00D63849">
      <w:pPr>
        <w:tabs>
          <w:tab w:val="left" w:pos="1223"/>
        </w:tabs>
        <w:spacing w:line="360" w:lineRule="auto"/>
        <w:jc w:val="center"/>
        <w:rPr>
          <w:b/>
          <w:bCs/>
          <w:szCs w:val="34"/>
        </w:rPr>
      </w:pPr>
      <w:r>
        <w:rPr>
          <w:b/>
          <w:bCs/>
          <w:noProof/>
          <w:szCs w:val="34"/>
          <w:lang w:bidi="ar-SA"/>
        </w:rPr>
        <w:drawing>
          <wp:inline distT="0" distB="0" distL="0" distR="0" wp14:anchorId="19842DB1" wp14:editId="7ED99399">
            <wp:extent cx="3399790" cy="35331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99790" cy="3533140"/>
                    </a:xfrm>
                    <a:prstGeom prst="rect">
                      <a:avLst/>
                    </a:prstGeom>
                    <a:noFill/>
                  </pic:spPr>
                </pic:pic>
              </a:graphicData>
            </a:graphic>
          </wp:inline>
        </w:drawing>
      </w:r>
    </w:p>
    <w:p w:rsidR="00BF151A" w:rsidRDefault="00BF151A" w:rsidP="00633B70">
      <w:pPr>
        <w:tabs>
          <w:tab w:val="left" w:pos="1223"/>
        </w:tabs>
        <w:spacing w:line="360" w:lineRule="auto"/>
        <w:jc w:val="right"/>
        <w:rPr>
          <w:b/>
          <w:bCs/>
          <w:szCs w:val="34"/>
        </w:rPr>
      </w:pPr>
    </w:p>
    <w:p w:rsidR="00D63849" w:rsidRPr="00D63849" w:rsidRDefault="00D63849" w:rsidP="00D63849">
      <w:pPr>
        <w:pStyle w:val="NormalWeb"/>
        <w:kinsoku w:val="0"/>
        <w:overflowPunct w:val="0"/>
        <w:spacing w:before="0" w:beforeAutospacing="0" w:after="0" w:afterAutospacing="0"/>
        <w:textAlignment w:val="baseline"/>
        <w:rPr>
          <w:rFonts w:asciiTheme="majorBidi" w:hAnsiTheme="majorBidi" w:cstheme="majorBidi"/>
          <w:sz w:val="22"/>
          <w:szCs w:val="22"/>
        </w:rPr>
      </w:pPr>
      <w:r w:rsidRPr="00D63849">
        <w:rPr>
          <w:rFonts w:asciiTheme="majorBidi" w:eastAsiaTheme="minorEastAsia" w:hAnsiTheme="majorBidi" w:cstheme="majorBidi"/>
          <w:color w:val="000000" w:themeColor="text1"/>
          <w:kern w:val="24"/>
        </w:rPr>
        <w:t>Figure 1. Nissl staining of C+REMsd+Mel/REMsd+REMsd/Mel groups in locus coeruleus(LC</w:t>
      </w:r>
      <w:r w:rsidRPr="00D63849">
        <w:rPr>
          <w:rFonts w:asciiTheme="majorBidi" w:eastAsiaTheme="minorEastAsia" w:hAnsiTheme="majorBidi" w:cstheme="majorBidi"/>
          <w:b/>
          <w:bCs/>
          <w:color w:val="000000" w:themeColor="text1"/>
          <w:kern w:val="24"/>
        </w:rPr>
        <w:t xml:space="preserve">). </w:t>
      </w:r>
    </w:p>
    <w:p w:rsidR="00D63849" w:rsidRPr="00D63849" w:rsidRDefault="00D63849" w:rsidP="00D63849">
      <w:pPr>
        <w:pStyle w:val="NormalWeb"/>
        <w:kinsoku w:val="0"/>
        <w:overflowPunct w:val="0"/>
        <w:spacing w:before="0" w:beforeAutospacing="0" w:after="0" w:afterAutospacing="0"/>
        <w:textAlignment w:val="baseline"/>
        <w:rPr>
          <w:rFonts w:asciiTheme="majorBidi" w:hAnsiTheme="majorBidi" w:cstheme="majorBidi"/>
          <w:sz w:val="22"/>
          <w:szCs w:val="22"/>
        </w:rPr>
      </w:pPr>
      <w:r w:rsidRPr="00D63849">
        <w:rPr>
          <w:rFonts w:asciiTheme="majorBidi" w:eastAsiaTheme="minorEastAsia" w:hAnsiTheme="majorBidi" w:cstheme="majorBidi"/>
          <w:color w:val="000000" w:themeColor="text1"/>
          <w:kern w:val="24"/>
        </w:rPr>
        <w:t xml:space="preserve">Stereology analysis includes measuring the number of LC neurons and also measure the volume of nucleus. </w:t>
      </w:r>
    </w:p>
    <w:p w:rsidR="00D63849" w:rsidRPr="00D63849" w:rsidRDefault="00D63849" w:rsidP="00D63849">
      <w:pPr>
        <w:pStyle w:val="NormalWeb"/>
        <w:kinsoku w:val="0"/>
        <w:overflowPunct w:val="0"/>
        <w:spacing w:before="0" w:beforeAutospacing="0" w:after="0" w:afterAutospacing="0"/>
        <w:textAlignment w:val="baseline"/>
        <w:rPr>
          <w:rFonts w:asciiTheme="majorBidi" w:hAnsiTheme="majorBidi" w:cstheme="majorBidi"/>
          <w:sz w:val="22"/>
          <w:szCs w:val="22"/>
        </w:rPr>
      </w:pPr>
      <w:r w:rsidRPr="00D63849">
        <w:rPr>
          <w:rFonts w:asciiTheme="majorBidi" w:eastAsiaTheme="minorEastAsia" w:hAnsiTheme="majorBidi" w:cstheme="majorBidi"/>
          <w:color w:val="000000" w:themeColor="text1"/>
          <w:kern w:val="24"/>
        </w:rPr>
        <w:t xml:space="preserve"> A: count the number of neurons in the LC following induction treatment with melatonin and sleep deprivation,</w:t>
      </w:r>
    </w:p>
    <w:p w:rsidR="00D63849" w:rsidRPr="00D63849" w:rsidRDefault="00D63849" w:rsidP="00D63849">
      <w:pPr>
        <w:pStyle w:val="NormalWeb"/>
        <w:kinsoku w:val="0"/>
        <w:overflowPunct w:val="0"/>
        <w:spacing w:before="0" w:beforeAutospacing="0" w:after="0" w:afterAutospacing="0"/>
        <w:textAlignment w:val="baseline"/>
        <w:rPr>
          <w:rFonts w:asciiTheme="majorBidi" w:hAnsiTheme="majorBidi" w:cstheme="majorBidi"/>
          <w:sz w:val="22"/>
          <w:szCs w:val="22"/>
        </w:rPr>
      </w:pPr>
      <w:r w:rsidRPr="00D63849">
        <w:rPr>
          <w:rFonts w:asciiTheme="majorBidi" w:eastAsiaTheme="minorEastAsia" w:hAnsiTheme="majorBidi" w:cstheme="majorBidi"/>
          <w:color w:val="000000" w:themeColor="text1"/>
          <w:kern w:val="24"/>
        </w:rPr>
        <w:t xml:space="preserve"> B: measure the nucleus volume in LC neurons</w:t>
      </w:r>
    </w:p>
    <w:p w:rsidR="00BF151A" w:rsidRDefault="00BF151A" w:rsidP="00633B70">
      <w:pPr>
        <w:tabs>
          <w:tab w:val="left" w:pos="1223"/>
        </w:tabs>
        <w:spacing w:line="360" w:lineRule="auto"/>
        <w:jc w:val="right"/>
        <w:rPr>
          <w:b/>
          <w:bCs/>
          <w:szCs w:val="34"/>
        </w:rPr>
      </w:pPr>
    </w:p>
    <w:p w:rsidR="00BF151A" w:rsidRDefault="00BF151A" w:rsidP="00633B70">
      <w:pPr>
        <w:tabs>
          <w:tab w:val="left" w:pos="1223"/>
        </w:tabs>
        <w:spacing w:line="360" w:lineRule="auto"/>
        <w:jc w:val="right"/>
        <w:rPr>
          <w:b/>
          <w:bCs/>
          <w:szCs w:val="34"/>
        </w:rPr>
      </w:pPr>
    </w:p>
    <w:p w:rsidR="00BF151A" w:rsidRDefault="00BF151A" w:rsidP="00633B70">
      <w:pPr>
        <w:tabs>
          <w:tab w:val="left" w:pos="1223"/>
        </w:tabs>
        <w:spacing w:line="360" w:lineRule="auto"/>
        <w:jc w:val="right"/>
        <w:rPr>
          <w:b/>
          <w:bCs/>
          <w:szCs w:val="34"/>
        </w:rPr>
      </w:pPr>
    </w:p>
    <w:p w:rsidR="00BF151A" w:rsidRDefault="00BF151A" w:rsidP="00633B70">
      <w:pPr>
        <w:tabs>
          <w:tab w:val="left" w:pos="1223"/>
        </w:tabs>
        <w:spacing w:line="360" w:lineRule="auto"/>
        <w:jc w:val="right"/>
        <w:rPr>
          <w:b/>
          <w:bCs/>
          <w:szCs w:val="34"/>
        </w:rPr>
      </w:pPr>
      <w:bookmarkStart w:id="0" w:name="_GoBack"/>
      <w:bookmarkEnd w:id="0"/>
    </w:p>
    <w:p w:rsidR="00BF151A" w:rsidRDefault="00BF151A" w:rsidP="00633B70">
      <w:pPr>
        <w:tabs>
          <w:tab w:val="left" w:pos="1223"/>
        </w:tabs>
        <w:spacing w:line="360" w:lineRule="auto"/>
        <w:jc w:val="right"/>
        <w:rPr>
          <w:b/>
          <w:bCs/>
          <w:szCs w:val="34"/>
        </w:rPr>
      </w:pPr>
    </w:p>
    <w:p w:rsidR="00BF151A" w:rsidRDefault="00D63849" w:rsidP="00633B70">
      <w:pPr>
        <w:tabs>
          <w:tab w:val="left" w:pos="1223"/>
        </w:tabs>
        <w:spacing w:line="360" w:lineRule="auto"/>
        <w:jc w:val="right"/>
        <w:rPr>
          <w:b/>
          <w:bCs/>
          <w:szCs w:val="34"/>
        </w:rPr>
      </w:pPr>
      <w:r>
        <w:rPr>
          <w:noProof/>
          <w:lang w:bidi="ar-SA"/>
        </w:rPr>
        <w:drawing>
          <wp:inline distT="0" distB="0" distL="0" distR="0" wp14:anchorId="6E6A5632" wp14:editId="0079B52D">
            <wp:extent cx="5267325" cy="4864397"/>
            <wp:effectExtent l="0" t="0" r="0" b="0"/>
            <wp:docPr id="38936" name="Picture 2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36" name="Picture 24" descr="Untitled"/>
                    <pic:cNvPicPr>
                      <a:picLocks noChangeAspect="1" noChangeArrowheads="1"/>
                    </pic:cNvPicPr>
                  </pic:nvPicPr>
                  <pic:blipFill rotWithShape="1">
                    <a:blip r:embed="rId5">
                      <a:extLst>
                        <a:ext uri="{28A0092B-C50C-407E-A947-70E740481C1C}">
                          <a14:useLocalDpi xmlns:a14="http://schemas.microsoft.com/office/drawing/2010/main" val="0"/>
                        </a:ext>
                      </a:extLst>
                    </a:blip>
                    <a:srcRect l="6708" t="3094" r="7031" b="21567"/>
                    <a:stretch/>
                  </pic:blipFill>
                  <pic:spPr bwMode="auto">
                    <a:xfrm>
                      <a:off x="0" y="0"/>
                      <a:ext cx="5267325" cy="4864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D63849" w:rsidRPr="00D63849" w:rsidRDefault="00D63849" w:rsidP="00D63849">
      <w:pPr>
        <w:tabs>
          <w:tab w:val="left" w:pos="1223"/>
        </w:tabs>
        <w:spacing w:line="360" w:lineRule="auto"/>
        <w:jc w:val="right"/>
        <w:rPr>
          <w:szCs w:val="34"/>
        </w:rPr>
      </w:pPr>
      <w:r w:rsidRPr="00D63849">
        <w:rPr>
          <w:szCs w:val="34"/>
        </w:rPr>
        <w:t>Figure 2. TH expression in neuradrenergic neurons.(brown chromoge, DAB) (A)</w:t>
      </w:r>
    </w:p>
    <w:p w:rsidR="00BF151A" w:rsidRPr="00D63849" w:rsidRDefault="00D63849" w:rsidP="00D63849">
      <w:pPr>
        <w:tabs>
          <w:tab w:val="left" w:pos="1223"/>
        </w:tabs>
        <w:spacing w:line="360" w:lineRule="auto"/>
        <w:jc w:val="right"/>
        <w:rPr>
          <w:szCs w:val="34"/>
        </w:rPr>
      </w:pPr>
      <w:r w:rsidRPr="00D63849">
        <w:rPr>
          <w:szCs w:val="34"/>
          <w:rtl/>
        </w:rPr>
        <w:t xml:space="preserve">  </w:t>
      </w:r>
      <w:r w:rsidRPr="00D63849">
        <w:rPr>
          <w:szCs w:val="34"/>
        </w:rPr>
        <w:t>Magnification bars, 100 µm (A) Magnification bars, 10 µm (A) B: the number of TH expressing  nueradernergic neurons</w:t>
      </w:r>
      <w:r w:rsidRPr="00D63849">
        <w:rPr>
          <w:rFonts w:ascii="Cambria" w:hAnsi="Cambria" w:cs="Cambria" w:hint="cs"/>
          <w:szCs w:val="34"/>
          <w:rtl/>
        </w:rPr>
        <w:t> </w:t>
      </w:r>
    </w:p>
    <w:p w:rsidR="00BF151A" w:rsidRDefault="00BF151A" w:rsidP="00633B70">
      <w:pPr>
        <w:tabs>
          <w:tab w:val="left" w:pos="1223"/>
        </w:tabs>
        <w:spacing w:line="360" w:lineRule="auto"/>
        <w:jc w:val="right"/>
        <w:rPr>
          <w:b/>
          <w:bCs/>
          <w:szCs w:val="34"/>
        </w:rPr>
      </w:pPr>
    </w:p>
    <w:p w:rsidR="00BF151A" w:rsidRDefault="00BF151A" w:rsidP="00633B70">
      <w:pPr>
        <w:tabs>
          <w:tab w:val="left" w:pos="1223"/>
        </w:tabs>
        <w:spacing w:line="360" w:lineRule="auto"/>
        <w:jc w:val="right"/>
        <w:rPr>
          <w:b/>
          <w:bCs/>
          <w:szCs w:val="34"/>
        </w:rPr>
      </w:pPr>
    </w:p>
    <w:p w:rsidR="00BF151A" w:rsidRDefault="00D63849" w:rsidP="00633B70">
      <w:pPr>
        <w:tabs>
          <w:tab w:val="left" w:pos="1223"/>
        </w:tabs>
        <w:spacing w:line="360" w:lineRule="auto"/>
        <w:jc w:val="right"/>
        <w:rPr>
          <w:b/>
          <w:bCs/>
          <w:szCs w:val="34"/>
        </w:rPr>
      </w:pPr>
      <w:r>
        <w:rPr>
          <w:b/>
          <w:bCs/>
          <w:noProof/>
          <w:szCs w:val="34"/>
          <w:lang w:bidi="ar-SA"/>
        </w:rPr>
        <w:lastRenderedPageBreak/>
        <w:drawing>
          <wp:anchor distT="0" distB="0" distL="114300" distR="114300" simplePos="0" relativeHeight="251658240" behindDoc="0" locked="0" layoutInCell="1" allowOverlap="1" wp14:anchorId="1C710C23" wp14:editId="37EB6B0A">
            <wp:simplePos x="0" y="0"/>
            <wp:positionH relativeFrom="column">
              <wp:posOffset>876300</wp:posOffset>
            </wp:positionH>
            <wp:positionV relativeFrom="paragraph">
              <wp:posOffset>0</wp:posOffset>
            </wp:positionV>
            <wp:extent cx="3872230" cy="4086225"/>
            <wp:effectExtent l="0" t="0" r="0" b="9525"/>
            <wp:wrapSquare wrapText="bothSides"/>
            <wp:docPr id="3" name="Picture 3"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11563" b="32493"/>
                    <a:stretch/>
                  </pic:blipFill>
                  <pic:spPr bwMode="auto">
                    <a:xfrm>
                      <a:off x="0" y="0"/>
                      <a:ext cx="3872230" cy="4086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F151A" w:rsidRDefault="00BF151A" w:rsidP="00633B70">
      <w:pPr>
        <w:tabs>
          <w:tab w:val="left" w:pos="1223"/>
        </w:tabs>
        <w:spacing w:line="360" w:lineRule="auto"/>
        <w:jc w:val="right"/>
        <w:rPr>
          <w:b/>
          <w:bCs/>
          <w:szCs w:val="34"/>
        </w:rPr>
      </w:pPr>
    </w:p>
    <w:p w:rsidR="00D63849" w:rsidRDefault="00D63849" w:rsidP="00633B70">
      <w:pPr>
        <w:tabs>
          <w:tab w:val="left" w:pos="1223"/>
        </w:tabs>
        <w:spacing w:line="360" w:lineRule="auto"/>
        <w:jc w:val="right"/>
        <w:rPr>
          <w:b/>
          <w:bCs/>
          <w:szCs w:val="34"/>
        </w:rPr>
      </w:pPr>
    </w:p>
    <w:p w:rsidR="00D63849" w:rsidRDefault="00D63849" w:rsidP="00633B70">
      <w:pPr>
        <w:tabs>
          <w:tab w:val="left" w:pos="1223"/>
        </w:tabs>
        <w:spacing w:line="360" w:lineRule="auto"/>
        <w:jc w:val="right"/>
        <w:rPr>
          <w:b/>
          <w:bCs/>
          <w:szCs w:val="34"/>
        </w:rPr>
      </w:pPr>
    </w:p>
    <w:p w:rsidR="00D63849" w:rsidRDefault="00D63849" w:rsidP="00633B70">
      <w:pPr>
        <w:tabs>
          <w:tab w:val="left" w:pos="1223"/>
        </w:tabs>
        <w:spacing w:line="360" w:lineRule="auto"/>
        <w:jc w:val="right"/>
        <w:rPr>
          <w:b/>
          <w:bCs/>
          <w:szCs w:val="34"/>
        </w:rPr>
      </w:pPr>
    </w:p>
    <w:p w:rsidR="00D63849" w:rsidRDefault="00D63849" w:rsidP="00633B70">
      <w:pPr>
        <w:tabs>
          <w:tab w:val="left" w:pos="1223"/>
        </w:tabs>
        <w:spacing w:line="360" w:lineRule="auto"/>
        <w:jc w:val="right"/>
        <w:rPr>
          <w:b/>
          <w:bCs/>
          <w:szCs w:val="34"/>
        </w:rPr>
      </w:pPr>
    </w:p>
    <w:p w:rsidR="00BF151A" w:rsidRDefault="00BF151A" w:rsidP="00633B70">
      <w:pPr>
        <w:tabs>
          <w:tab w:val="left" w:pos="1223"/>
        </w:tabs>
        <w:spacing w:line="360" w:lineRule="auto"/>
        <w:jc w:val="right"/>
        <w:rPr>
          <w:b/>
          <w:bCs/>
          <w:szCs w:val="34"/>
        </w:rPr>
      </w:pPr>
    </w:p>
    <w:p w:rsidR="00BF151A" w:rsidRDefault="00BF151A" w:rsidP="00633B70">
      <w:pPr>
        <w:tabs>
          <w:tab w:val="left" w:pos="1223"/>
        </w:tabs>
        <w:spacing w:line="360" w:lineRule="auto"/>
        <w:jc w:val="right"/>
        <w:rPr>
          <w:b/>
          <w:bCs/>
          <w:szCs w:val="34"/>
        </w:rPr>
      </w:pPr>
    </w:p>
    <w:p w:rsidR="00BF151A" w:rsidRDefault="00BF151A" w:rsidP="00633B70">
      <w:pPr>
        <w:tabs>
          <w:tab w:val="left" w:pos="1223"/>
        </w:tabs>
        <w:spacing w:line="360" w:lineRule="auto"/>
        <w:jc w:val="right"/>
        <w:rPr>
          <w:b/>
          <w:bCs/>
          <w:szCs w:val="34"/>
        </w:rPr>
      </w:pPr>
    </w:p>
    <w:p w:rsidR="00BF151A" w:rsidRDefault="00BF151A" w:rsidP="00633B70">
      <w:pPr>
        <w:tabs>
          <w:tab w:val="left" w:pos="1223"/>
        </w:tabs>
        <w:spacing w:line="360" w:lineRule="auto"/>
        <w:jc w:val="right"/>
        <w:rPr>
          <w:b/>
          <w:bCs/>
          <w:szCs w:val="34"/>
        </w:rPr>
      </w:pPr>
    </w:p>
    <w:p w:rsidR="00BF151A" w:rsidRDefault="00BF151A" w:rsidP="00633B70">
      <w:pPr>
        <w:tabs>
          <w:tab w:val="left" w:pos="1223"/>
        </w:tabs>
        <w:spacing w:line="360" w:lineRule="auto"/>
        <w:jc w:val="right"/>
        <w:rPr>
          <w:b/>
          <w:bCs/>
          <w:szCs w:val="34"/>
        </w:rPr>
      </w:pPr>
    </w:p>
    <w:p w:rsidR="00D63849" w:rsidRDefault="00D63849" w:rsidP="00633B70">
      <w:pPr>
        <w:tabs>
          <w:tab w:val="left" w:pos="1223"/>
        </w:tabs>
        <w:spacing w:line="360" w:lineRule="auto"/>
        <w:jc w:val="right"/>
        <w:rPr>
          <w:b/>
          <w:bCs/>
          <w:szCs w:val="34"/>
        </w:rPr>
      </w:pPr>
    </w:p>
    <w:p w:rsidR="00D63849" w:rsidRDefault="00D63849" w:rsidP="00633B70">
      <w:pPr>
        <w:tabs>
          <w:tab w:val="left" w:pos="1223"/>
        </w:tabs>
        <w:spacing w:line="360" w:lineRule="auto"/>
        <w:jc w:val="right"/>
        <w:rPr>
          <w:b/>
          <w:bCs/>
          <w:szCs w:val="34"/>
        </w:rPr>
      </w:pPr>
    </w:p>
    <w:p w:rsidR="00D63849" w:rsidRPr="00D63849" w:rsidRDefault="00D63849" w:rsidP="00D63849">
      <w:pPr>
        <w:tabs>
          <w:tab w:val="left" w:pos="1223"/>
        </w:tabs>
        <w:spacing w:line="360" w:lineRule="auto"/>
        <w:jc w:val="right"/>
        <w:rPr>
          <w:szCs w:val="34"/>
        </w:rPr>
      </w:pPr>
      <w:r w:rsidRPr="00D63849">
        <w:rPr>
          <w:szCs w:val="34"/>
        </w:rPr>
        <w:t xml:space="preserve">Figure 3. phtomicrographs of sections immunostaining for Iba-1 (brown chromoge, DAB) </w:t>
      </w:r>
    </w:p>
    <w:p w:rsidR="00D63849" w:rsidRDefault="00D63849" w:rsidP="00D63849">
      <w:pPr>
        <w:tabs>
          <w:tab w:val="left" w:pos="1223"/>
        </w:tabs>
        <w:spacing w:line="360" w:lineRule="auto"/>
        <w:jc w:val="right"/>
        <w:rPr>
          <w:szCs w:val="34"/>
        </w:rPr>
      </w:pPr>
      <w:r w:rsidRPr="00D63849">
        <w:rPr>
          <w:szCs w:val="34"/>
        </w:rPr>
        <w:t>White arrowheads indicate microglia cells. Scale, 10 µm</w:t>
      </w:r>
    </w:p>
    <w:p w:rsidR="000C484A" w:rsidRDefault="000C484A" w:rsidP="000C484A">
      <w:pPr>
        <w:tabs>
          <w:tab w:val="left" w:pos="1223"/>
        </w:tabs>
        <w:spacing w:line="360" w:lineRule="auto"/>
        <w:jc w:val="right"/>
        <w:rPr>
          <w:szCs w:val="34"/>
        </w:rPr>
      </w:pPr>
    </w:p>
    <w:p w:rsidR="000C484A" w:rsidRDefault="000C484A" w:rsidP="000C484A">
      <w:pPr>
        <w:tabs>
          <w:tab w:val="left" w:pos="1223"/>
        </w:tabs>
        <w:spacing w:line="360" w:lineRule="auto"/>
        <w:jc w:val="right"/>
        <w:rPr>
          <w:szCs w:val="34"/>
        </w:rPr>
      </w:pPr>
    </w:p>
    <w:p w:rsidR="000C484A" w:rsidRDefault="000C484A" w:rsidP="000C484A">
      <w:pPr>
        <w:tabs>
          <w:tab w:val="left" w:pos="1223"/>
        </w:tabs>
        <w:spacing w:line="360" w:lineRule="auto"/>
        <w:jc w:val="right"/>
        <w:rPr>
          <w:szCs w:val="34"/>
        </w:rPr>
      </w:pPr>
    </w:p>
    <w:p w:rsidR="000C484A" w:rsidRDefault="000C484A" w:rsidP="000C484A">
      <w:pPr>
        <w:tabs>
          <w:tab w:val="left" w:pos="1223"/>
        </w:tabs>
        <w:spacing w:line="360" w:lineRule="auto"/>
        <w:jc w:val="right"/>
        <w:rPr>
          <w:szCs w:val="34"/>
        </w:rPr>
      </w:pPr>
    </w:p>
    <w:p w:rsidR="000C484A" w:rsidRDefault="000C484A" w:rsidP="000C484A">
      <w:pPr>
        <w:tabs>
          <w:tab w:val="left" w:pos="1223"/>
        </w:tabs>
        <w:spacing w:line="360" w:lineRule="auto"/>
        <w:jc w:val="right"/>
        <w:rPr>
          <w:szCs w:val="34"/>
        </w:rPr>
      </w:pPr>
    </w:p>
    <w:p w:rsidR="000C484A" w:rsidRPr="00D63849" w:rsidRDefault="000C484A" w:rsidP="000C484A">
      <w:pPr>
        <w:tabs>
          <w:tab w:val="left" w:pos="1223"/>
        </w:tabs>
        <w:spacing w:line="360" w:lineRule="auto"/>
        <w:jc w:val="right"/>
        <w:rPr>
          <w:szCs w:val="34"/>
        </w:rPr>
      </w:pPr>
    </w:p>
    <w:p w:rsidR="00BF151A" w:rsidRDefault="00BF151A" w:rsidP="00D63849">
      <w:pPr>
        <w:tabs>
          <w:tab w:val="left" w:pos="1223"/>
        </w:tabs>
        <w:spacing w:line="360" w:lineRule="auto"/>
        <w:rPr>
          <w:b/>
          <w:bCs/>
          <w:szCs w:val="34"/>
        </w:rPr>
      </w:pPr>
    </w:p>
    <w:p w:rsidR="00BF151A" w:rsidRPr="00BF151A" w:rsidRDefault="00BF151A" w:rsidP="00633B70">
      <w:pPr>
        <w:tabs>
          <w:tab w:val="left" w:pos="1223"/>
        </w:tabs>
        <w:spacing w:line="360" w:lineRule="auto"/>
        <w:jc w:val="right"/>
        <w:rPr>
          <w:b/>
          <w:bCs/>
          <w:szCs w:val="34"/>
        </w:rPr>
      </w:pPr>
    </w:p>
    <w:p w:rsidR="00BF151A" w:rsidRDefault="00BF151A" w:rsidP="00BF151A">
      <w:pPr>
        <w:tabs>
          <w:tab w:val="left" w:pos="1223"/>
        </w:tabs>
        <w:spacing w:line="360" w:lineRule="auto"/>
        <w:jc w:val="right"/>
        <w:rPr>
          <w:b/>
          <w:bCs/>
          <w:szCs w:val="34"/>
        </w:rPr>
      </w:pPr>
      <w:r w:rsidRPr="00BF151A">
        <w:rPr>
          <w:b/>
          <w:bCs/>
          <w:szCs w:val="34"/>
        </w:rPr>
        <w:lastRenderedPageBreak/>
        <w:t xml:space="preserve">Recent Publications </w:t>
      </w:r>
    </w:p>
    <w:p w:rsidR="00BF151A" w:rsidRPr="00BF151A" w:rsidRDefault="00BF151A" w:rsidP="00BF151A">
      <w:pPr>
        <w:tabs>
          <w:tab w:val="left" w:pos="1223"/>
        </w:tabs>
        <w:spacing w:line="360" w:lineRule="auto"/>
        <w:jc w:val="right"/>
        <w:rPr>
          <w:b/>
          <w:bCs/>
          <w:szCs w:val="34"/>
        </w:rPr>
      </w:pPr>
    </w:p>
    <w:p w:rsidR="00BF151A" w:rsidRDefault="00BF151A" w:rsidP="00BF151A">
      <w:pPr>
        <w:bidi w:val="0"/>
        <w:spacing w:after="200" w:line="360" w:lineRule="auto"/>
        <w:jc w:val="both"/>
        <w:rPr>
          <w:rFonts w:cs="Times New Roman"/>
          <w:noProof/>
          <w:sz w:val="20"/>
          <w:szCs w:val="34"/>
        </w:rPr>
      </w:pPr>
      <w:r>
        <w:rPr>
          <w:szCs w:val="34"/>
        </w:rPr>
        <w:t xml:space="preserve"> </w:t>
      </w:r>
      <w:bookmarkStart w:id="1" w:name="_ENREF_1"/>
      <w:r>
        <w:rPr>
          <w:rFonts w:cs="Times New Roman"/>
          <w:noProof/>
          <w:sz w:val="20"/>
          <w:szCs w:val="34"/>
        </w:rPr>
        <w:t>1.</w:t>
      </w:r>
      <w:r>
        <w:rPr>
          <w:rFonts w:cs="Times New Roman"/>
          <w:noProof/>
          <w:sz w:val="20"/>
          <w:szCs w:val="34"/>
        </w:rPr>
        <w:tab/>
        <w:t>Klein DC, Weller JL. Indole metabolism in the pineal gland: a circadian rhythm in N-acetyltransferase. Science. 1970;169(3950):1093-5.</w:t>
      </w:r>
      <w:bookmarkEnd w:id="1"/>
    </w:p>
    <w:p w:rsidR="00BF151A" w:rsidRDefault="00BF151A" w:rsidP="00BF151A">
      <w:pPr>
        <w:bidi w:val="0"/>
        <w:spacing w:line="360" w:lineRule="auto"/>
        <w:jc w:val="both"/>
        <w:rPr>
          <w:rFonts w:cs="Times New Roman"/>
          <w:noProof/>
          <w:sz w:val="20"/>
          <w:szCs w:val="34"/>
        </w:rPr>
      </w:pPr>
      <w:bookmarkStart w:id="2" w:name="_ENREF_2"/>
      <w:r>
        <w:rPr>
          <w:rFonts w:cs="Times New Roman"/>
          <w:noProof/>
          <w:sz w:val="20"/>
          <w:szCs w:val="34"/>
        </w:rPr>
        <w:t>2.</w:t>
      </w:r>
      <w:r>
        <w:rPr>
          <w:rFonts w:cs="Times New Roman"/>
          <w:noProof/>
          <w:sz w:val="20"/>
          <w:szCs w:val="34"/>
        </w:rPr>
        <w:tab/>
        <w:t>Cao R, Li A, Cho H-y, Lee B, Obrietan K. Mammalian target of rapamycin signaling modulates photic entrainment of the suprachiasmatic circadian clock. The Journal of Neuroscience. 2010;30(18):6302-14.</w:t>
      </w:r>
      <w:bookmarkEnd w:id="2"/>
    </w:p>
    <w:p w:rsidR="00BF151A" w:rsidRDefault="00BF151A" w:rsidP="00BF151A">
      <w:pPr>
        <w:bidi w:val="0"/>
        <w:spacing w:line="360" w:lineRule="auto"/>
        <w:jc w:val="both"/>
        <w:rPr>
          <w:rFonts w:cs="Times New Roman"/>
          <w:noProof/>
          <w:sz w:val="20"/>
          <w:szCs w:val="34"/>
        </w:rPr>
      </w:pPr>
      <w:bookmarkStart w:id="3" w:name="_ENREF_3"/>
      <w:r>
        <w:rPr>
          <w:rFonts w:cs="Times New Roman"/>
          <w:noProof/>
          <w:sz w:val="20"/>
          <w:szCs w:val="34"/>
        </w:rPr>
        <w:t>3.</w:t>
      </w:r>
      <w:r>
        <w:rPr>
          <w:rFonts w:cs="Times New Roman"/>
          <w:noProof/>
          <w:sz w:val="20"/>
          <w:szCs w:val="34"/>
        </w:rPr>
        <w:tab/>
        <w:t>Stephan FK, Zucker I. Circadian rhythms in drinking behavior and locomotor activity of rats are eliminated by hypothalamic lesions. Proceedings of the National Academy of Sciences. 1972;69(6):1583-6.</w:t>
      </w:r>
      <w:bookmarkEnd w:id="3"/>
    </w:p>
    <w:p w:rsidR="00BF151A" w:rsidRDefault="00BF151A" w:rsidP="00BF151A">
      <w:pPr>
        <w:bidi w:val="0"/>
        <w:spacing w:line="360" w:lineRule="auto"/>
        <w:jc w:val="both"/>
        <w:rPr>
          <w:rFonts w:cs="Times New Roman"/>
          <w:noProof/>
          <w:sz w:val="20"/>
          <w:szCs w:val="34"/>
        </w:rPr>
      </w:pPr>
      <w:bookmarkStart w:id="4" w:name="_ENREF_4"/>
      <w:r>
        <w:rPr>
          <w:rFonts w:cs="Times New Roman"/>
          <w:noProof/>
          <w:sz w:val="20"/>
          <w:szCs w:val="34"/>
        </w:rPr>
        <w:t>4.</w:t>
      </w:r>
      <w:r>
        <w:rPr>
          <w:rFonts w:cs="Times New Roman"/>
          <w:noProof/>
          <w:sz w:val="20"/>
          <w:szCs w:val="34"/>
        </w:rPr>
        <w:tab/>
        <w:t>Zhdanova IV, Wurtman RJ, Lynch HJ, Ives JR, Dollins AB, Morabito C, et al. Sleep</w:t>
      </w:r>
      <w:r>
        <w:rPr>
          <w:rFonts w:ascii="Cambria Math" w:hAnsi="Cambria Math" w:cs="Cambria Math"/>
          <w:noProof/>
          <w:sz w:val="20"/>
          <w:szCs w:val="34"/>
        </w:rPr>
        <w:t>‐</w:t>
      </w:r>
      <w:r>
        <w:rPr>
          <w:rFonts w:cs="Times New Roman"/>
          <w:noProof/>
          <w:sz w:val="20"/>
          <w:szCs w:val="34"/>
        </w:rPr>
        <w:t>inducing effects of low doses of melatonin ingested in the evening. Clin Pharmacol Ther. 1995;57(5):552-8.</w:t>
      </w:r>
      <w:bookmarkEnd w:id="4"/>
    </w:p>
    <w:p w:rsidR="00BF151A" w:rsidRDefault="00BF151A" w:rsidP="00BF151A">
      <w:pPr>
        <w:bidi w:val="0"/>
        <w:spacing w:line="360" w:lineRule="auto"/>
        <w:jc w:val="both"/>
        <w:rPr>
          <w:rFonts w:cs="Times New Roman"/>
          <w:noProof/>
          <w:sz w:val="20"/>
          <w:szCs w:val="34"/>
        </w:rPr>
      </w:pPr>
      <w:bookmarkStart w:id="5" w:name="_ENREF_5"/>
      <w:r>
        <w:rPr>
          <w:rFonts w:cs="Times New Roman"/>
          <w:noProof/>
          <w:sz w:val="20"/>
          <w:szCs w:val="34"/>
        </w:rPr>
        <w:t>5.</w:t>
      </w:r>
      <w:r>
        <w:rPr>
          <w:rFonts w:cs="Times New Roman"/>
          <w:noProof/>
          <w:sz w:val="20"/>
          <w:szCs w:val="34"/>
        </w:rPr>
        <w:tab/>
        <w:t>Pévet P. Melatonin and animal models. Dialogues Clin Neurosci. 2003;5:343-52.</w:t>
      </w:r>
      <w:bookmarkEnd w:id="5"/>
    </w:p>
    <w:p w:rsidR="00BF151A" w:rsidRDefault="00BF151A" w:rsidP="00BF151A">
      <w:pPr>
        <w:bidi w:val="0"/>
        <w:spacing w:line="360" w:lineRule="auto"/>
        <w:jc w:val="both"/>
        <w:rPr>
          <w:rFonts w:cs="Times New Roman"/>
          <w:noProof/>
          <w:sz w:val="20"/>
          <w:szCs w:val="34"/>
        </w:rPr>
      </w:pPr>
      <w:bookmarkStart w:id="6" w:name="_ENREF_6"/>
      <w:r w:rsidRPr="006D4424">
        <w:rPr>
          <w:rFonts w:cs="Times New Roman"/>
          <w:noProof/>
          <w:sz w:val="20"/>
          <w:szCs w:val="34"/>
        </w:rPr>
        <w:t>6.</w:t>
      </w:r>
      <w:r w:rsidRPr="006D4424">
        <w:rPr>
          <w:rFonts w:cs="Times New Roman"/>
          <w:noProof/>
          <w:sz w:val="20"/>
          <w:szCs w:val="34"/>
        </w:rPr>
        <w:tab/>
        <w:t>Brainard GC, Hanifin JP, Rollag MD, Greeson J, Byrne B, Glickman G, et al. Human melatonin regulation is not mediated by the three cone photopic visual system. The Journal of Clinical Endocrinology &amp; Metabolism. 2001;86(1):433-6.</w:t>
      </w:r>
      <w:bookmarkEnd w:id="6"/>
    </w:p>
    <w:p w:rsidR="00BF151A" w:rsidRDefault="00BF151A" w:rsidP="00BF151A">
      <w:pPr>
        <w:bidi w:val="0"/>
        <w:spacing w:line="360" w:lineRule="auto"/>
        <w:jc w:val="both"/>
        <w:rPr>
          <w:rFonts w:cs="Times New Roman"/>
          <w:noProof/>
          <w:sz w:val="20"/>
          <w:szCs w:val="34"/>
        </w:rPr>
      </w:pPr>
      <w:bookmarkStart w:id="7" w:name="_ENREF_7"/>
      <w:r>
        <w:rPr>
          <w:rFonts w:cs="Times New Roman"/>
          <w:noProof/>
          <w:sz w:val="20"/>
          <w:szCs w:val="34"/>
        </w:rPr>
        <w:t>7.</w:t>
      </w:r>
      <w:r>
        <w:rPr>
          <w:rFonts w:cs="Times New Roman"/>
          <w:noProof/>
          <w:sz w:val="20"/>
          <w:szCs w:val="34"/>
        </w:rPr>
        <w:tab/>
        <w:t>Vaughan G, McDonald S, Jordan R, Allen J, Bohmfalk G, Abou-Samra M, et al. MELATONIN CONCENTRATION IN HUMAN BLOOD AND CEREBROSPINAL FLUID: TO STRESS. The Journal of Clinical Endocrinology &amp; Metabolism. 1978;47(1):220-3.</w:t>
      </w:r>
      <w:bookmarkEnd w:id="7"/>
    </w:p>
    <w:p w:rsidR="00BF151A" w:rsidRDefault="00BF151A" w:rsidP="00BF151A">
      <w:pPr>
        <w:bidi w:val="0"/>
        <w:spacing w:line="360" w:lineRule="auto"/>
        <w:jc w:val="both"/>
        <w:rPr>
          <w:rFonts w:cs="Times New Roman"/>
          <w:noProof/>
          <w:sz w:val="20"/>
          <w:szCs w:val="34"/>
        </w:rPr>
      </w:pPr>
      <w:bookmarkStart w:id="8" w:name="_ENREF_8"/>
      <w:r>
        <w:rPr>
          <w:rFonts w:cs="Times New Roman"/>
          <w:noProof/>
          <w:sz w:val="20"/>
          <w:szCs w:val="34"/>
        </w:rPr>
        <w:t>8.</w:t>
      </w:r>
      <w:r>
        <w:rPr>
          <w:rFonts w:cs="Times New Roman"/>
          <w:noProof/>
          <w:sz w:val="20"/>
          <w:szCs w:val="34"/>
        </w:rPr>
        <w:tab/>
        <w:t>Isobe Y, Torii T, Nishino H. Melatonin inhibits Arg–vasopressin release via MT 2 receptor in the suprachiasmatic nucleus-slice culture of rats. Brain Res. 2001;889(1):214-9.</w:t>
      </w:r>
      <w:bookmarkEnd w:id="8"/>
    </w:p>
    <w:p w:rsidR="00BF151A" w:rsidRDefault="00BF151A" w:rsidP="00BF151A">
      <w:pPr>
        <w:bidi w:val="0"/>
        <w:spacing w:line="360" w:lineRule="auto"/>
        <w:jc w:val="both"/>
        <w:rPr>
          <w:rFonts w:cs="Times New Roman"/>
          <w:noProof/>
          <w:sz w:val="20"/>
          <w:szCs w:val="34"/>
        </w:rPr>
      </w:pPr>
      <w:bookmarkStart w:id="9" w:name="_ENREF_9"/>
      <w:r>
        <w:rPr>
          <w:rFonts w:cs="Times New Roman"/>
          <w:noProof/>
          <w:sz w:val="20"/>
          <w:szCs w:val="34"/>
        </w:rPr>
        <w:t>9.</w:t>
      </w:r>
      <w:r>
        <w:rPr>
          <w:rFonts w:cs="Times New Roman"/>
          <w:noProof/>
          <w:sz w:val="20"/>
          <w:szCs w:val="34"/>
        </w:rPr>
        <w:tab/>
        <w:t>Hughes RJ, Sack RL, Lewy AJ. The role of melatonin and circadian phase in age-related sleep-maintenance insomnia: assessment in a clinical trial of melatonin replacement. Sleep. 1998;21(1):52-69.</w:t>
      </w:r>
      <w:bookmarkEnd w:id="9"/>
    </w:p>
    <w:p w:rsidR="00BF151A" w:rsidRDefault="00BF151A" w:rsidP="00BF151A">
      <w:pPr>
        <w:bidi w:val="0"/>
        <w:spacing w:line="360" w:lineRule="auto"/>
        <w:jc w:val="both"/>
        <w:rPr>
          <w:rFonts w:cs="Times New Roman"/>
          <w:noProof/>
          <w:sz w:val="20"/>
          <w:szCs w:val="34"/>
        </w:rPr>
      </w:pPr>
      <w:bookmarkStart w:id="10" w:name="_ENREF_10"/>
      <w:r>
        <w:rPr>
          <w:rFonts w:cs="Times New Roman"/>
          <w:noProof/>
          <w:sz w:val="20"/>
          <w:szCs w:val="34"/>
        </w:rPr>
        <w:t>10.</w:t>
      </w:r>
      <w:r>
        <w:rPr>
          <w:rFonts w:cs="Times New Roman"/>
          <w:noProof/>
          <w:sz w:val="20"/>
          <w:szCs w:val="34"/>
        </w:rPr>
        <w:tab/>
        <w:t>Cajochen C, Kräuchi K, Wirz</w:t>
      </w:r>
      <w:r>
        <w:rPr>
          <w:rFonts w:ascii="Cambria Math" w:hAnsi="Cambria Math" w:cs="Cambria Math"/>
          <w:noProof/>
          <w:sz w:val="20"/>
          <w:szCs w:val="34"/>
        </w:rPr>
        <w:t>‐</w:t>
      </w:r>
      <w:r>
        <w:rPr>
          <w:rFonts w:cs="Times New Roman"/>
          <w:noProof/>
          <w:sz w:val="20"/>
          <w:szCs w:val="34"/>
        </w:rPr>
        <w:t>Justice A. Role of melatonin in the regulation of human circadian rhythms and sleep. J Neuroendocrinol. 2003;15(4):432-7.</w:t>
      </w:r>
      <w:bookmarkEnd w:id="10"/>
    </w:p>
    <w:p w:rsidR="00BF151A" w:rsidRDefault="00BF151A" w:rsidP="00BF151A">
      <w:pPr>
        <w:bidi w:val="0"/>
        <w:spacing w:line="360" w:lineRule="auto"/>
        <w:jc w:val="both"/>
        <w:rPr>
          <w:rFonts w:cs="Times New Roman"/>
          <w:noProof/>
          <w:sz w:val="20"/>
          <w:szCs w:val="34"/>
        </w:rPr>
      </w:pPr>
      <w:bookmarkStart w:id="11" w:name="_ENREF_11"/>
      <w:r>
        <w:rPr>
          <w:rFonts w:cs="Times New Roman"/>
          <w:noProof/>
          <w:sz w:val="20"/>
          <w:szCs w:val="34"/>
        </w:rPr>
        <w:t>11.</w:t>
      </w:r>
      <w:r>
        <w:rPr>
          <w:rFonts w:cs="Times New Roman"/>
          <w:noProof/>
          <w:sz w:val="20"/>
          <w:szCs w:val="34"/>
        </w:rPr>
        <w:tab/>
        <w:t>Maurizi C. The therapeutic potential for tryptophan and melatonin: possible roles in depression, sleep, Alzheimer's disease and abnormal aging. Med Hypotheses. 1990;31(3):233-42.</w:t>
      </w:r>
      <w:bookmarkEnd w:id="11"/>
    </w:p>
    <w:p w:rsidR="00BF151A" w:rsidRDefault="00BF151A" w:rsidP="00BF151A">
      <w:pPr>
        <w:bidi w:val="0"/>
        <w:spacing w:line="360" w:lineRule="auto"/>
        <w:jc w:val="both"/>
        <w:rPr>
          <w:rFonts w:cs="Times New Roman"/>
          <w:noProof/>
          <w:sz w:val="20"/>
          <w:szCs w:val="34"/>
        </w:rPr>
      </w:pPr>
      <w:bookmarkStart w:id="12" w:name="_ENREF_12"/>
      <w:r>
        <w:rPr>
          <w:rFonts w:cs="Times New Roman"/>
          <w:noProof/>
          <w:sz w:val="20"/>
          <w:szCs w:val="34"/>
        </w:rPr>
        <w:t>12.</w:t>
      </w:r>
      <w:r>
        <w:rPr>
          <w:rFonts w:cs="Times New Roman"/>
          <w:noProof/>
          <w:sz w:val="20"/>
          <w:szCs w:val="34"/>
        </w:rPr>
        <w:tab/>
        <w:t>DABBENI-SALA F, DI SANTO S, FRANCESCHINI D, SKAPER SD, GIUSTI P. Melatonin protects against 6-OHDA-induced neurotoxicity in rats: a role for mitochondrial complex I activity. The FASEB Journal. 2001;15(1):164-70.</w:t>
      </w:r>
      <w:bookmarkEnd w:id="12"/>
    </w:p>
    <w:p w:rsidR="00BF151A" w:rsidRDefault="00BF151A" w:rsidP="00BF151A">
      <w:pPr>
        <w:bidi w:val="0"/>
        <w:spacing w:line="360" w:lineRule="auto"/>
        <w:jc w:val="both"/>
        <w:rPr>
          <w:rFonts w:cs="Times New Roman"/>
          <w:noProof/>
          <w:sz w:val="20"/>
          <w:szCs w:val="34"/>
        </w:rPr>
      </w:pPr>
      <w:bookmarkStart w:id="13" w:name="_ENREF_13"/>
      <w:r>
        <w:rPr>
          <w:rFonts w:cs="Times New Roman"/>
          <w:noProof/>
          <w:sz w:val="20"/>
          <w:szCs w:val="34"/>
        </w:rPr>
        <w:t>13.</w:t>
      </w:r>
      <w:r>
        <w:rPr>
          <w:rFonts w:cs="Times New Roman"/>
          <w:noProof/>
          <w:sz w:val="20"/>
          <w:szCs w:val="34"/>
        </w:rPr>
        <w:tab/>
        <w:t>Garfinkel D, Laudon M, Nof D, Zisapel N. Improvement of sleep quality in elderly people by controlled-release melatonin. The Lancet. 1995;346(8974):541-4.</w:t>
      </w:r>
      <w:bookmarkEnd w:id="13"/>
    </w:p>
    <w:p w:rsidR="00BF151A" w:rsidRDefault="00BF151A" w:rsidP="00BF151A">
      <w:pPr>
        <w:bidi w:val="0"/>
        <w:spacing w:line="360" w:lineRule="auto"/>
        <w:jc w:val="both"/>
        <w:rPr>
          <w:rFonts w:cs="Times New Roman"/>
          <w:noProof/>
          <w:sz w:val="20"/>
          <w:szCs w:val="34"/>
        </w:rPr>
      </w:pPr>
      <w:bookmarkStart w:id="14" w:name="_ENREF_14"/>
      <w:r>
        <w:rPr>
          <w:rFonts w:cs="Times New Roman"/>
          <w:noProof/>
          <w:sz w:val="20"/>
          <w:szCs w:val="34"/>
        </w:rPr>
        <w:t>14.</w:t>
      </w:r>
      <w:r>
        <w:rPr>
          <w:rFonts w:cs="Times New Roman"/>
          <w:noProof/>
          <w:sz w:val="20"/>
          <w:szCs w:val="34"/>
        </w:rPr>
        <w:tab/>
        <w:t>Peever J, Luppi P-H, Montplaisir J. Breakdown in REM sleep circuitry underlies REM sleep behavior disorder. Trends Neurosci. 2014;37(5):279-88.</w:t>
      </w:r>
      <w:bookmarkEnd w:id="14"/>
    </w:p>
    <w:p w:rsidR="00BF151A" w:rsidRDefault="00BF151A" w:rsidP="00BF151A">
      <w:pPr>
        <w:bidi w:val="0"/>
        <w:spacing w:line="360" w:lineRule="auto"/>
        <w:jc w:val="both"/>
        <w:rPr>
          <w:rFonts w:cs="Times New Roman"/>
          <w:noProof/>
          <w:sz w:val="20"/>
          <w:szCs w:val="34"/>
        </w:rPr>
      </w:pPr>
      <w:bookmarkStart w:id="15" w:name="_ENREF_15"/>
      <w:r>
        <w:rPr>
          <w:rFonts w:cs="Times New Roman"/>
          <w:noProof/>
          <w:sz w:val="20"/>
          <w:szCs w:val="34"/>
        </w:rPr>
        <w:t>15.</w:t>
      </w:r>
      <w:r>
        <w:rPr>
          <w:rFonts w:cs="Times New Roman"/>
          <w:noProof/>
          <w:sz w:val="20"/>
          <w:szCs w:val="34"/>
        </w:rPr>
        <w:tab/>
        <w:t>Wu J, Buchsbaum MS, Gillin JC, Tang C, Cadwell S, Wiegand M, et al. Prediction of antidepressant effects of sleep deprivation by metabolic rates in the ventral anterior cingulate and medial prefrontal cortex. Am J Psychiatry. 1999.</w:t>
      </w:r>
      <w:bookmarkEnd w:id="15"/>
    </w:p>
    <w:p w:rsidR="00BF151A" w:rsidRDefault="00BF151A" w:rsidP="00BF151A">
      <w:pPr>
        <w:bidi w:val="0"/>
        <w:spacing w:line="360" w:lineRule="auto"/>
        <w:jc w:val="both"/>
        <w:rPr>
          <w:rFonts w:cs="Times New Roman"/>
          <w:noProof/>
          <w:sz w:val="20"/>
          <w:szCs w:val="34"/>
        </w:rPr>
      </w:pPr>
      <w:bookmarkStart w:id="16" w:name="_ENREF_16"/>
      <w:r>
        <w:rPr>
          <w:rFonts w:cs="Times New Roman"/>
          <w:noProof/>
          <w:sz w:val="20"/>
          <w:szCs w:val="34"/>
        </w:rPr>
        <w:lastRenderedPageBreak/>
        <w:t>16.</w:t>
      </w:r>
      <w:r>
        <w:rPr>
          <w:rFonts w:cs="Times New Roman"/>
          <w:noProof/>
          <w:sz w:val="20"/>
          <w:szCs w:val="34"/>
        </w:rPr>
        <w:tab/>
        <w:t>Saper CB, Chou TC, Scammell TE. The sleep switch: hypothalamic control of sleep and wakefulness. Trends Neurosci. 2001;24(12):726-31.</w:t>
      </w:r>
      <w:bookmarkEnd w:id="16"/>
    </w:p>
    <w:p w:rsidR="00BF151A" w:rsidRDefault="00BF151A" w:rsidP="00BF151A">
      <w:pPr>
        <w:bidi w:val="0"/>
        <w:spacing w:line="360" w:lineRule="auto"/>
        <w:jc w:val="both"/>
        <w:rPr>
          <w:rFonts w:cs="Times New Roman"/>
          <w:noProof/>
          <w:sz w:val="20"/>
          <w:szCs w:val="34"/>
        </w:rPr>
      </w:pPr>
      <w:bookmarkStart w:id="17" w:name="_ENREF_17"/>
      <w:r>
        <w:rPr>
          <w:rFonts w:cs="Times New Roman"/>
          <w:noProof/>
          <w:sz w:val="20"/>
          <w:szCs w:val="34"/>
        </w:rPr>
        <w:t>17.</w:t>
      </w:r>
      <w:r>
        <w:rPr>
          <w:rFonts w:cs="Times New Roman"/>
          <w:noProof/>
          <w:sz w:val="20"/>
          <w:szCs w:val="34"/>
        </w:rPr>
        <w:tab/>
        <w:t>Thomas M, Sing H, Belenky G, Holcomb H, Mayberg H, Dannals R, et al. Neural basis of alertness and cognitive performance impairments during sleepiness. I. Effects of 24 h of sleep deprivation on waking human regional brain activity. J Sleep Res. 2000;9(4):335-52.</w:t>
      </w:r>
      <w:bookmarkEnd w:id="17"/>
    </w:p>
    <w:p w:rsidR="00BF151A" w:rsidRDefault="00BF151A" w:rsidP="00BF151A">
      <w:pPr>
        <w:bidi w:val="0"/>
        <w:spacing w:line="360" w:lineRule="auto"/>
        <w:jc w:val="both"/>
        <w:rPr>
          <w:rFonts w:cs="Times New Roman"/>
          <w:noProof/>
          <w:sz w:val="20"/>
          <w:szCs w:val="34"/>
        </w:rPr>
      </w:pPr>
      <w:bookmarkStart w:id="18" w:name="_ENREF_18"/>
      <w:r>
        <w:rPr>
          <w:rFonts w:cs="Times New Roman"/>
          <w:noProof/>
          <w:sz w:val="20"/>
          <w:szCs w:val="34"/>
        </w:rPr>
        <w:t>18.</w:t>
      </w:r>
      <w:r>
        <w:rPr>
          <w:rFonts w:cs="Times New Roman"/>
          <w:noProof/>
          <w:sz w:val="20"/>
          <w:szCs w:val="34"/>
        </w:rPr>
        <w:tab/>
        <w:t>Spoormaker VI, Schröter MS, Gleiser PM, Andrade KC, Dresler M, Wehrle R, et al. Development of a large-scale functional brain network during human non-rapid eye movement sleep. The Journal of neuroscience. 2010;30(34):11379-87.</w:t>
      </w:r>
      <w:bookmarkEnd w:id="18"/>
    </w:p>
    <w:p w:rsidR="00BF151A" w:rsidRDefault="00BF151A" w:rsidP="00BF151A">
      <w:pPr>
        <w:bidi w:val="0"/>
        <w:spacing w:line="360" w:lineRule="auto"/>
        <w:jc w:val="both"/>
        <w:rPr>
          <w:rFonts w:cs="Times New Roman"/>
          <w:noProof/>
          <w:sz w:val="20"/>
          <w:szCs w:val="34"/>
        </w:rPr>
      </w:pPr>
      <w:bookmarkStart w:id="19" w:name="_ENREF_19"/>
      <w:r>
        <w:rPr>
          <w:rFonts w:cs="Times New Roman"/>
          <w:noProof/>
          <w:sz w:val="20"/>
          <w:szCs w:val="34"/>
        </w:rPr>
        <w:t>19.</w:t>
      </w:r>
      <w:r>
        <w:rPr>
          <w:rFonts w:cs="Times New Roman"/>
          <w:noProof/>
          <w:sz w:val="20"/>
          <w:szCs w:val="34"/>
        </w:rPr>
        <w:tab/>
        <w:t>Dijk D-J, Duffy JF, Czeisler CA. Contribution of circadian physiology and sleep homeostasis to age-related changes in human sleep. Chronobiol Int. 2000;17(3):285-311.</w:t>
      </w:r>
      <w:bookmarkEnd w:id="19"/>
    </w:p>
    <w:p w:rsidR="00BF151A" w:rsidRDefault="00BF151A" w:rsidP="00BF151A">
      <w:pPr>
        <w:bidi w:val="0"/>
        <w:spacing w:line="360" w:lineRule="auto"/>
        <w:jc w:val="both"/>
        <w:rPr>
          <w:rFonts w:cs="Times New Roman"/>
          <w:noProof/>
          <w:sz w:val="20"/>
          <w:szCs w:val="34"/>
        </w:rPr>
      </w:pPr>
      <w:bookmarkStart w:id="20" w:name="_ENREF_20"/>
      <w:r>
        <w:rPr>
          <w:rFonts w:cs="Times New Roman"/>
          <w:noProof/>
          <w:sz w:val="20"/>
          <w:szCs w:val="34"/>
        </w:rPr>
        <w:t>20.</w:t>
      </w:r>
      <w:r>
        <w:rPr>
          <w:rFonts w:cs="Times New Roman"/>
          <w:noProof/>
          <w:sz w:val="20"/>
          <w:szCs w:val="34"/>
        </w:rPr>
        <w:tab/>
        <w:t>Dijk D-J, Hayes B, Czeisler CA. Dynamics of electroencephalographic sleep spindles and slow wave activity in men: effect of sleep deprivation. Brain Res. 1993;626(1):190-9.</w:t>
      </w:r>
      <w:bookmarkEnd w:id="20"/>
    </w:p>
    <w:p w:rsidR="00BF151A" w:rsidRPr="00633B70" w:rsidRDefault="00BF151A" w:rsidP="00BF151A">
      <w:pPr>
        <w:tabs>
          <w:tab w:val="left" w:pos="1223"/>
        </w:tabs>
        <w:spacing w:line="360" w:lineRule="auto"/>
        <w:jc w:val="right"/>
        <w:rPr>
          <w:szCs w:val="34"/>
        </w:rPr>
      </w:pPr>
    </w:p>
    <w:sectPr w:rsidR="00BF151A" w:rsidRPr="00633B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B70"/>
    <w:rsid w:val="000C484A"/>
    <w:rsid w:val="004C2C0D"/>
    <w:rsid w:val="00633B70"/>
    <w:rsid w:val="00BF151A"/>
    <w:rsid w:val="00D638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32FD42-CF08-4507-81E4-C6ADD7B03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B70"/>
    <w:pPr>
      <w:bidi/>
      <w:spacing w:after="0" w:line="240" w:lineRule="auto"/>
    </w:pPr>
    <w:rPr>
      <w:rFonts w:ascii="Times New Roman" w:eastAsia="Calibri" w:hAnsi="Times New Roman" w:cs="B Nazanin"/>
      <w:sz w:val="24"/>
      <w:szCs w:val="28"/>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3849"/>
    <w:pPr>
      <w:bidi w:val="0"/>
      <w:spacing w:before="100" w:beforeAutospacing="1" w:after="100" w:afterAutospacing="1"/>
    </w:pPr>
    <w:rPr>
      <w:rFonts w:eastAsia="Times New Roman" w:cs="Times New Roman"/>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353967">
      <w:bodyDiv w:val="1"/>
      <w:marLeft w:val="0"/>
      <w:marRight w:val="0"/>
      <w:marTop w:val="0"/>
      <w:marBottom w:val="0"/>
      <w:divBdr>
        <w:top w:val="none" w:sz="0" w:space="0" w:color="auto"/>
        <w:left w:val="none" w:sz="0" w:space="0" w:color="auto"/>
        <w:bottom w:val="none" w:sz="0" w:space="0" w:color="auto"/>
        <w:right w:val="none" w:sz="0" w:space="0" w:color="auto"/>
      </w:divBdr>
    </w:div>
    <w:div w:id="181740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974</Words>
  <Characters>5556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somaye</dc:creator>
  <cp:keywords/>
  <dc:description/>
  <cp:lastModifiedBy>somaye</cp:lastModifiedBy>
  <cp:revision>2</cp:revision>
  <cp:lastPrinted>2017-01-21T18:08:00Z</cp:lastPrinted>
  <dcterms:created xsi:type="dcterms:W3CDTF">2017-01-21T17:43:00Z</dcterms:created>
  <dcterms:modified xsi:type="dcterms:W3CDTF">2017-01-21T18:08:00Z</dcterms:modified>
</cp:coreProperties>
</file>