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000" w:rsidRDefault="003017A9" w:rsidP="003017A9">
      <w:pPr>
        <w:jc w:val="center"/>
        <w:rPr>
          <w:sz w:val="32"/>
          <w:szCs w:val="32"/>
        </w:rPr>
      </w:pPr>
      <w:r w:rsidRPr="003017A9">
        <w:rPr>
          <w:sz w:val="32"/>
          <w:szCs w:val="32"/>
        </w:rPr>
        <w:t>Case Summary</w:t>
      </w:r>
    </w:p>
    <w:p w:rsidR="003017A9" w:rsidRDefault="003017A9" w:rsidP="003017A9">
      <w:pPr>
        <w:jc w:val="center"/>
        <w:rPr>
          <w:sz w:val="32"/>
          <w:szCs w:val="32"/>
        </w:rPr>
      </w:pPr>
    </w:p>
    <w:p w:rsidR="003017A9" w:rsidRPr="003017A9" w:rsidRDefault="003017A9" w:rsidP="003017A9">
      <w:pPr>
        <w:rPr>
          <w:sz w:val="24"/>
          <w:szCs w:val="24"/>
        </w:rPr>
      </w:pPr>
      <w:r>
        <w:rPr>
          <w:sz w:val="24"/>
          <w:szCs w:val="24"/>
        </w:rPr>
        <w:t xml:space="preserve">A sixty two year old male presented to Neurology department with complaints of abnormal sensations over limbs associated with weakness of all four limbs since last four years along with difficulty in deglutition since last two days. He described his abnormal sensation as sense of thickening in the soles which then progressed upwards to involve palms within next four to five months and was symmetric onset. Associated weakness was also distal, symmetrical and progressed very insidiously over the next four years to involve proximal muscles also. Since last two days before presenting, he had developed dyshagia which was more for liquids as compared to solids. He also gave history of involuntary twitching movements particularly over perioral region along with loss of libido, fatiguability and wasting in all four limbs. There was no history of any bowel or bladder involvement, autonomic disturbance or any sensory loss. There was no associated oculo-pharngio-bulbar weakness and did not have any history of heavy metal exposure. He gave history of similar complaints in two of his real brothers. He had a history of Diabetes Mellitus. Examination revealed chin and tongue fasciculations along with gynecomastia and testicular atrophy with loss of pubic hair. There was bilateral facial nerve palsy along with generalized hypotonia and wasting. There was quadriparesis (proximal and distal weakness) with absent deep tendon reflexes as well as absent plantar response with no sensory loss. Nerve conduction studies showed </w:t>
      </w:r>
      <w:r w:rsidRPr="003017A9">
        <w:rPr>
          <w:sz w:val="24"/>
          <w:szCs w:val="24"/>
        </w:rPr>
        <w:t>bilateral symmetrical sensory axonal neuropathy affecting lower limbs more than upper limbs with asymmetric bilateral multiple motor mononeuropathies axonal type affecting upper limbs more than lower limbs.</w:t>
      </w:r>
      <w:r>
        <w:rPr>
          <w:sz w:val="24"/>
          <w:szCs w:val="24"/>
        </w:rPr>
        <w:t xml:space="preserve">His CSF showed cyto-albuminological dissociation. With a suspicion of CIDP, he was started on steroids to which he showed no response. Then, a rethought was given and considering his family history along with facial fasciculations with LMN type quadriparesis, </w:t>
      </w:r>
      <w:r w:rsidRPr="003017A9">
        <w:rPr>
          <w:sz w:val="24"/>
          <w:szCs w:val="24"/>
        </w:rPr>
        <w:t xml:space="preserve">CAG repeat on androgen receptor gene on    Xq </w:t>
      </w:r>
      <w:r>
        <w:rPr>
          <w:sz w:val="24"/>
          <w:szCs w:val="24"/>
        </w:rPr>
        <w:t>11-12  was done which came out to be</w:t>
      </w:r>
      <w:r w:rsidRPr="003017A9">
        <w:rPr>
          <w:sz w:val="24"/>
          <w:szCs w:val="24"/>
        </w:rPr>
        <w:t xml:space="preserve">  positive</w:t>
      </w:r>
      <w:r>
        <w:rPr>
          <w:sz w:val="24"/>
          <w:szCs w:val="24"/>
        </w:rPr>
        <w:t>. Thus, a diagnosis of Kennedy disease (spino bulbar muscular atrophy) was established. This is the first case reported of Kennedy disease from India.</w:t>
      </w:r>
    </w:p>
    <w:sectPr w:rsidR="003017A9" w:rsidRPr="003017A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compat>
    <w:useFELayout/>
  </w:compat>
  <w:rsids>
    <w:rsidRoot w:val="003017A9"/>
    <w:rsid w:val="003017A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Pages>
  <Words>335</Words>
  <Characters>1916</Characters>
  <Application>Microsoft Office Word</Application>
  <DocSecurity>0</DocSecurity>
  <Lines>15</Lines>
  <Paragraphs>4</Paragraphs>
  <ScaleCrop>false</ScaleCrop>
  <Company>saims</Company>
  <LinksUpToDate>false</LinksUpToDate>
  <CharactersWithSpaces>2247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user1</dc:creator>
  <cp:keywords/>
  <dc:description/>
  <cp:lastModifiedBy>user1</cp:lastModifiedBy>
  <cp:revision>2</cp:revision>
  <dcterms:created xsi:type="dcterms:W3CDTF">2016-10-05T05:39:00Z</dcterms:created>
  <dcterms:modified xsi:type="dcterms:W3CDTF">2016-10-05T05:57:00Z</dcterms:modified>
</cp:coreProperties>
</file>