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540" w:firstLineChars="200"/>
        <w:rPr>
          <w:rFonts w:hint="default" w:ascii="Times New Roman" w:hAnsi="Times New Roman" w:eastAsia="Georgia" w:cs="Times New Roman"/>
          <w:b/>
          <w:bCs/>
          <w:i w:val="0"/>
          <w:iCs w:val="0"/>
          <w:caps w:val="0"/>
          <w:color w:val="2E2E2E"/>
          <w:spacing w:val="0"/>
          <w:sz w:val="27"/>
          <w:szCs w:val="27"/>
          <w:lang w:val="en-IN"/>
        </w:rPr>
      </w:pPr>
      <w:r>
        <w:rPr>
          <w:rFonts w:hint="default" w:ascii="Georgia" w:hAnsi="Georgia" w:eastAsia="Georgia" w:cs="Georgia"/>
          <w:b/>
          <w:bCs/>
          <w:i w:val="0"/>
          <w:iCs w:val="0"/>
          <w:caps w:val="0"/>
          <w:color w:val="2E2E2E"/>
          <w:spacing w:val="0"/>
          <w:sz w:val="27"/>
          <w:szCs w:val="27"/>
          <w:lang w:val="en-IN"/>
        </w:rPr>
        <w:t xml:space="preserve">Neurochemistry of </w:t>
      </w:r>
      <w:r>
        <w:rPr>
          <w:rFonts w:hint="default" w:ascii="Times New Roman" w:hAnsi="Times New Roman" w:eastAsia="Georgia" w:cs="Times New Roman"/>
          <w:b/>
          <w:bCs/>
          <w:i w:val="0"/>
          <w:iCs w:val="0"/>
          <w:caps w:val="0"/>
          <w:color w:val="2E2E2E"/>
          <w:spacing w:val="0"/>
          <w:sz w:val="27"/>
          <w:szCs w:val="27"/>
          <w:lang w:val="en-IN"/>
        </w:rPr>
        <w:t xml:space="preserve">COVID-19   </w:t>
      </w:r>
    </w:p>
    <w:p>
      <w:pPr>
        <w:ind w:firstLine="1486" w:firstLineChars="550"/>
        <w:rPr>
          <w:rFonts w:hint="default" w:ascii="Times New Roman" w:hAnsi="Times New Roman" w:eastAsia="Georgia" w:cs="Times New Roman"/>
          <w:b/>
          <w:bCs/>
          <w:i w:val="0"/>
          <w:iCs w:val="0"/>
          <w:caps w:val="0"/>
          <w:color w:val="2E2E2E"/>
          <w:spacing w:val="0"/>
          <w:sz w:val="27"/>
          <w:szCs w:val="27"/>
          <w:lang w:val="en-IN"/>
        </w:rPr>
      </w:pPr>
    </w:p>
    <w:p>
      <w:pPr>
        <w:ind w:firstLine="600" w:firstLineChars="250"/>
        <w:rPr>
          <w:rFonts w:hint="default" w:ascii="Times New Roman" w:hAnsi="Times New Roman" w:eastAsia="Georgia" w:cs="Times New Roman"/>
          <w:b w:val="0"/>
          <w:bCs w:val="0"/>
          <w:i w:val="0"/>
          <w:iCs w:val="0"/>
          <w:caps w:val="0"/>
          <w:color w:val="2E2E2E"/>
          <w:spacing w:val="0"/>
          <w:sz w:val="24"/>
          <w:szCs w:val="24"/>
          <w:lang w:val="en-IN"/>
        </w:rPr>
      </w:pPr>
      <w:r>
        <w:rPr>
          <w:rFonts w:hint="default" w:ascii="Times New Roman" w:hAnsi="Times New Roman" w:eastAsia="Georgia" w:cs="Times New Roman"/>
          <w:b w:val="0"/>
          <w:bCs w:val="0"/>
          <w:i w:val="0"/>
          <w:iCs w:val="0"/>
          <w:caps w:val="0"/>
          <w:color w:val="2E2E2E"/>
          <w:spacing w:val="0"/>
          <w:sz w:val="24"/>
          <w:szCs w:val="24"/>
          <w:lang w:val="en-IN"/>
        </w:rPr>
        <w:t>Ramachandran Muthiah</w:t>
      </w:r>
    </w:p>
    <w:p>
      <w:pPr>
        <w:rPr>
          <w:rFonts w:hint="default" w:ascii="Times New Roman" w:hAnsi="Times New Roman" w:eastAsia="Georgia" w:cs="Times New Roman"/>
          <w:b w:val="0"/>
          <w:bCs w:val="0"/>
          <w:i w:val="0"/>
          <w:iCs w:val="0"/>
          <w:caps w:val="0"/>
          <w:color w:val="2E2E2E"/>
          <w:spacing w:val="0"/>
          <w:sz w:val="24"/>
          <w:szCs w:val="24"/>
          <w:lang w:val="en-IN"/>
        </w:rPr>
      </w:pPr>
      <w:r>
        <w:rPr>
          <w:rFonts w:hint="default" w:ascii="Times New Roman" w:hAnsi="Times New Roman" w:eastAsia="Georgia" w:cs="Times New Roman"/>
          <w:b w:val="0"/>
          <w:bCs w:val="0"/>
          <w:i w:val="0"/>
          <w:iCs w:val="0"/>
          <w:caps w:val="0"/>
          <w:color w:val="2E2E2E"/>
          <w:spacing w:val="0"/>
          <w:sz w:val="24"/>
          <w:szCs w:val="24"/>
          <w:lang w:val="en-IN"/>
        </w:rPr>
        <w:t>Morning star hospital, Marthandam, Kanyakumari District, India</w:t>
      </w:r>
    </w:p>
    <w:p>
      <w:pPr>
        <w:rPr>
          <w:rFonts w:hint="default" w:ascii="Georgia" w:hAnsi="Georgia" w:eastAsia="Georgia" w:cs="Georgia"/>
          <w:i w:val="0"/>
          <w:iCs w:val="0"/>
          <w:caps w:val="0"/>
          <w:color w:val="2E2E2E"/>
          <w:spacing w:val="0"/>
          <w:sz w:val="27"/>
          <w:szCs w:val="27"/>
        </w:rPr>
      </w:pPr>
    </w:p>
    <w:p>
      <w:pPr>
        <w:ind w:firstLine="840" w:firstLineChars="350"/>
        <w:jc w:val="both"/>
        <w:rPr>
          <w:rFonts w:hint="default" w:eastAsia="Georgia" w:cs="Georgia" w:asciiTheme="minorAscii" w:hAnsiTheme="minorAscii"/>
          <w:i w:val="0"/>
          <w:iCs w:val="0"/>
          <w:caps w:val="0"/>
          <w:color w:val="2E2E2E"/>
          <w:spacing w:val="0"/>
          <w:sz w:val="24"/>
          <w:szCs w:val="24"/>
          <w:lang w:val="en-IN"/>
        </w:rPr>
      </w:pPr>
      <w:r>
        <w:rPr>
          <w:rFonts w:hint="default" w:eastAsia="Georgia" w:cs="Georgia" w:asciiTheme="minorAscii" w:hAnsiTheme="minorAscii"/>
          <w:i w:val="0"/>
          <w:iCs w:val="0"/>
          <w:caps w:val="0"/>
          <w:color w:val="2E2E2E"/>
          <w:spacing w:val="0"/>
          <w:sz w:val="24"/>
          <w:szCs w:val="24"/>
        </w:rPr>
        <w:t>Severe acute respiratory syndrome coronavirus 2 (SARS-CoV-2), the pathogen of coronavirus disease 2019 (COVID-19),</w:t>
      </w:r>
      <w:r>
        <w:rPr>
          <w:rFonts w:hint="default" w:eastAsia="Georgia" w:cs="Georgia" w:asciiTheme="minorAscii" w:hAnsiTheme="minorAscii"/>
          <w:i w:val="0"/>
          <w:iCs w:val="0"/>
          <w:caps w:val="0"/>
          <w:color w:val="2E2E2E"/>
          <w:spacing w:val="0"/>
          <w:sz w:val="24"/>
          <w:szCs w:val="24"/>
          <w:lang w:val="en-IN"/>
        </w:rPr>
        <w:t xml:space="preserve"> </w:t>
      </w:r>
      <w:r>
        <w:rPr>
          <w:rFonts w:hint="default" w:eastAsia="Georgia" w:cs="Georgia" w:asciiTheme="minorAscii" w:hAnsiTheme="minorAscii"/>
          <w:i w:val="0"/>
          <w:iCs w:val="0"/>
          <w:caps w:val="0"/>
          <w:color w:val="333333"/>
          <w:spacing w:val="0"/>
          <w:sz w:val="24"/>
          <w:szCs w:val="24"/>
          <w:shd w:val="clear" w:fill="FCFCFC"/>
        </w:rPr>
        <w:t>the presentation of patients with extremely low blood oxygenation, but no sensation of dyspnea</w:t>
      </w:r>
      <w:r>
        <w:rPr>
          <w:rFonts w:hint="default" w:eastAsia="Georgia" w:cs="Georgia" w:asciiTheme="minorAscii" w:hAnsiTheme="minorAscii"/>
          <w:i w:val="0"/>
          <w:iCs w:val="0"/>
          <w:caps w:val="0"/>
          <w:color w:val="004B83"/>
          <w:spacing w:val="0"/>
          <w:sz w:val="24"/>
          <w:szCs w:val="24"/>
          <w:shd w:val="clear" w:fill="FCFCFC"/>
          <w:lang w:val="en-IN"/>
        </w:rPr>
        <w:t xml:space="preserve"> and</w:t>
      </w:r>
      <w:r>
        <w:rPr>
          <w:rFonts w:hint="default" w:eastAsia="Georgia" w:cs="Georgia" w:asciiTheme="minorAscii" w:hAnsiTheme="minorAscii"/>
          <w:i w:val="0"/>
          <w:iCs w:val="0"/>
          <w:caps w:val="0"/>
          <w:color w:val="333333"/>
          <w:spacing w:val="0"/>
          <w:sz w:val="24"/>
          <w:szCs w:val="24"/>
          <w:shd w:val="clear" w:fill="FCFCFC"/>
        </w:rPr>
        <w:t xml:space="preserve"> can suffer sudden death after voluntary “breaks” from the oxygen supplementation. Recognizing “happy hypoxia” as a feature of COVID-19 pneumonia </w:t>
      </w:r>
      <w:r>
        <w:rPr>
          <w:rFonts w:hint="default" w:eastAsia="Georgia" w:cs="Georgia" w:asciiTheme="minorAscii" w:hAnsiTheme="minorAscii"/>
          <w:i w:val="0"/>
          <w:iCs w:val="0"/>
          <w:caps w:val="0"/>
          <w:color w:val="2E2E2E"/>
          <w:spacing w:val="0"/>
          <w:sz w:val="24"/>
          <w:szCs w:val="24"/>
        </w:rPr>
        <w:t>has been associated with neurological syndromes such as meningoencephalitis, ischemic stroke, encephalopathy, Guillain-Barré syndrome (GBS), acute necrotizing encephalopathy, and acute disseminated encephalomyelitis (ADEM)</w:t>
      </w:r>
      <w:r>
        <w:rPr>
          <w:rFonts w:hint="default" w:eastAsia="Georgia" w:cs="Georgia" w:asciiTheme="minorAscii" w:hAnsiTheme="minorAscii"/>
          <w:i w:val="0"/>
          <w:iCs w:val="0"/>
          <w:caps w:val="0"/>
          <w:color w:val="2E2E2E"/>
          <w:spacing w:val="0"/>
          <w:sz w:val="24"/>
          <w:szCs w:val="24"/>
          <w:lang w:val="en-IN"/>
        </w:rPr>
        <w:t xml:space="preserve"> and p</w:t>
      </w:r>
      <w:r>
        <w:rPr>
          <w:rFonts w:hint="default" w:eastAsia="Georgia" w:cs="Georgia" w:asciiTheme="minorAscii" w:hAnsiTheme="minorAscii"/>
          <w:i w:val="0"/>
          <w:iCs w:val="0"/>
          <w:caps w:val="0"/>
          <w:color w:val="2E2E2E"/>
          <w:spacing w:val="0"/>
          <w:sz w:val="24"/>
          <w:szCs w:val="24"/>
        </w:rPr>
        <w:t>ossible mechanisms implicated in these neurological conditions are neuronal injury associated with direct virus infection, hyperinflammation syndrome associated with cytokine storm, a para- or post-infectious inflammatory disease, an immune-mediated disease, or a secondary process due to severe effects of a systemic disorder (sepsis, hyperpyrexia, hypoxia, hypercoagulability, critical illness)</w:t>
      </w:r>
      <w:r>
        <w:rPr>
          <w:rFonts w:hint="default" w:eastAsia="Georgia" w:cs="Georgia" w:asciiTheme="minorAscii" w:hAnsiTheme="minorAscii"/>
          <w:i w:val="0"/>
          <w:iCs w:val="0"/>
          <w:caps w:val="0"/>
          <w:color w:val="2E2E2E"/>
          <w:spacing w:val="0"/>
          <w:sz w:val="24"/>
          <w:szCs w:val="24"/>
          <w:lang w:val="en-IN"/>
        </w:rPr>
        <w:t>.</w:t>
      </w:r>
    </w:p>
    <w:p>
      <w:pPr>
        <w:rPr>
          <w:rFonts w:hint="default" w:eastAsia="Georgia" w:cs="Georgia" w:asciiTheme="minorAscii" w:hAnsiTheme="minorAscii"/>
          <w:i w:val="0"/>
          <w:iCs w:val="0"/>
          <w:caps w:val="0"/>
          <w:color w:val="2E2E2E"/>
          <w:spacing w:val="0"/>
          <w:sz w:val="24"/>
          <w:szCs w:val="24"/>
          <w:lang w:val="en-IN"/>
        </w:rPr>
      </w:pPr>
    </w:p>
    <w:p>
      <w:pPr>
        <w:ind w:firstLine="840" w:firstLineChars="350"/>
        <w:jc w:val="both"/>
        <w:rPr>
          <w:rFonts w:hint="default" w:eastAsia="Georgia" w:cs="Georgia" w:asciiTheme="minorAscii" w:hAnsiTheme="minorAscii"/>
          <w:b w:val="0"/>
          <w:bCs w:val="0"/>
          <w:i w:val="0"/>
          <w:iCs w:val="0"/>
          <w:caps w:val="0"/>
          <w:color w:val="3E3D40"/>
          <w:spacing w:val="0"/>
          <w:sz w:val="24"/>
          <w:szCs w:val="24"/>
          <w:shd w:val="clear" w:fill="FFFFFF"/>
        </w:rPr>
      </w:pPr>
      <w:r>
        <w:rPr>
          <w:rFonts w:hint="default" w:eastAsia="Georgia" w:cs="Georgia" w:asciiTheme="minorAscii" w:hAnsiTheme="minorAscii"/>
          <w:b w:val="0"/>
          <w:bCs w:val="0"/>
          <w:i w:val="0"/>
          <w:iCs w:val="0"/>
          <w:caps w:val="0"/>
          <w:color w:val="3E3D40"/>
          <w:spacing w:val="0"/>
          <w:sz w:val="24"/>
          <w:szCs w:val="24"/>
          <w:shd w:val="clear" w:fill="FFFFFF"/>
        </w:rPr>
        <w:t>The wide expression of the ACE2 receptor in the epithelial cells of the oral and nasal mucosa</w:t>
      </w:r>
      <w:r>
        <w:rPr>
          <w:rFonts w:hint="default" w:eastAsia="Georgia" w:cs="Georgia" w:asciiTheme="minorAscii" w:hAnsiTheme="minorAscii"/>
          <w:b/>
          <w:bCs/>
          <w:i w:val="0"/>
          <w:iCs w:val="0"/>
          <w:caps w:val="0"/>
          <w:color w:val="3E3D40"/>
          <w:spacing w:val="0"/>
          <w:sz w:val="24"/>
          <w:szCs w:val="24"/>
          <w:shd w:val="clear" w:fill="FFFFFF"/>
        </w:rPr>
        <w:t xml:space="preserve"> </w:t>
      </w:r>
      <w:r>
        <w:rPr>
          <w:rFonts w:hint="default" w:eastAsia="Georgia" w:cs="Georgia" w:asciiTheme="minorAscii" w:hAnsiTheme="minorAscii"/>
          <w:i w:val="0"/>
          <w:iCs w:val="0"/>
          <w:caps w:val="0"/>
          <w:color w:val="3E3D40"/>
          <w:spacing w:val="0"/>
          <w:sz w:val="24"/>
          <w:szCs w:val="24"/>
          <w:shd w:val="clear" w:fill="FFFFFF"/>
        </w:rPr>
        <w:t>suggests that the virus-related damage caused by SARS-CoV-2 in these sites is linked to the effects of the virus on the function of the ACE2 receptor</w:t>
      </w:r>
      <w:r>
        <w:rPr>
          <w:rFonts w:hint="default" w:eastAsia="Georgia" w:cs="Georgia" w:asciiTheme="minorAscii" w:hAnsiTheme="minorAscii"/>
          <w:i w:val="0"/>
          <w:iCs w:val="0"/>
          <w:caps w:val="0"/>
          <w:color w:val="3E3D40"/>
          <w:spacing w:val="0"/>
          <w:sz w:val="24"/>
          <w:szCs w:val="24"/>
          <w:shd w:val="clear" w:fill="FFFFFF"/>
          <w:lang w:val="en-IN"/>
        </w:rPr>
        <w:t>, t</w:t>
      </w:r>
      <w:r>
        <w:rPr>
          <w:rFonts w:hint="default" w:eastAsia="Georgia" w:cs="Georgia" w:asciiTheme="minorAscii" w:hAnsiTheme="minorAscii"/>
          <w:i w:val="0"/>
          <w:iCs w:val="0"/>
          <w:caps w:val="0"/>
          <w:color w:val="3E3D40"/>
          <w:spacing w:val="0"/>
          <w:sz w:val="24"/>
          <w:szCs w:val="24"/>
          <w:shd w:val="clear" w:fill="FFFFFF"/>
        </w:rPr>
        <w:t>he roles of Furin and the transmembrane protease serine 2 (TMPRSS2) in this process</w:t>
      </w:r>
      <w:r>
        <w:rPr>
          <w:rFonts w:hint="default" w:eastAsia="Georgia" w:cs="Georgia" w:asciiTheme="minorAscii" w:hAnsiTheme="minorAscii"/>
          <w:i w:val="0"/>
          <w:iCs w:val="0"/>
          <w:caps w:val="0"/>
          <w:color w:val="3E3D40"/>
          <w:spacing w:val="0"/>
          <w:sz w:val="24"/>
          <w:szCs w:val="24"/>
          <w:shd w:val="clear" w:fill="FFFFFF"/>
          <w:lang w:val="en-IN"/>
        </w:rPr>
        <w:t xml:space="preserve">. </w:t>
      </w:r>
      <w:r>
        <w:rPr>
          <w:rFonts w:hint="default" w:eastAsia="Georgia" w:cs="Georgia" w:asciiTheme="minorAscii" w:hAnsiTheme="minorAscii"/>
          <w:b w:val="0"/>
          <w:bCs w:val="0"/>
          <w:i w:val="0"/>
          <w:iCs w:val="0"/>
          <w:caps w:val="0"/>
          <w:color w:val="3E3D40"/>
          <w:spacing w:val="0"/>
          <w:sz w:val="24"/>
          <w:szCs w:val="24"/>
          <w:shd w:val="clear" w:fill="FFFFFF"/>
        </w:rPr>
        <w:t>SARS-CoV-2 directly damages the olfactory receptor neurons, since these cells seem to express ACE2, but not TMPRSS2 or Furin</w:t>
      </w:r>
      <w:r>
        <w:rPr>
          <w:rFonts w:hint="default" w:eastAsia="Georgia" w:cs="Georgia" w:asciiTheme="minorAscii" w:hAnsiTheme="minorAscii"/>
          <w:b/>
          <w:bCs/>
          <w:i w:val="0"/>
          <w:iCs w:val="0"/>
          <w:caps w:val="0"/>
          <w:color w:val="3E3D40"/>
          <w:spacing w:val="0"/>
          <w:sz w:val="24"/>
          <w:szCs w:val="24"/>
          <w:shd w:val="clear" w:fill="FFFFFF"/>
          <w:lang w:val="en-IN"/>
        </w:rPr>
        <w:t>. N</w:t>
      </w:r>
      <w:r>
        <w:rPr>
          <w:rFonts w:hint="default" w:eastAsia="Georgia" w:cs="Georgia" w:asciiTheme="minorAscii" w:hAnsiTheme="minorAscii"/>
          <w:i w:val="0"/>
          <w:iCs w:val="0"/>
          <w:caps w:val="0"/>
          <w:color w:val="3E3D40"/>
          <w:spacing w:val="0"/>
          <w:sz w:val="24"/>
          <w:szCs w:val="24"/>
          <w:shd w:val="clear" w:fill="FFFFFF"/>
        </w:rPr>
        <w:t>euro-immune pathway functions bidirectionally, where afferent neurons respond to immune signals at the periphery, and the efferent neurons promote the interaction between the brain and the periphery. This</w:t>
      </w:r>
      <w:r>
        <w:rPr>
          <w:rFonts w:hint="default" w:eastAsia="Georgia" w:cs="Georgia" w:asciiTheme="minorAscii" w:hAnsiTheme="minorAscii"/>
          <w:b w:val="0"/>
          <w:bCs w:val="0"/>
          <w:i w:val="0"/>
          <w:iCs w:val="0"/>
          <w:caps w:val="0"/>
          <w:color w:val="3E3D40"/>
          <w:spacing w:val="0"/>
          <w:sz w:val="24"/>
          <w:szCs w:val="24"/>
          <w:shd w:val="clear" w:fill="FFFFFF"/>
        </w:rPr>
        <w:t xml:space="preserve"> inflammatory reflex</w:t>
      </w:r>
      <w:r>
        <w:rPr>
          <w:rFonts w:hint="default" w:eastAsia="Georgia" w:cs="Georgia" w:asciiTheme="minorAscii" w:hAnsiTheme="minorAscii"/>
          <w:i w:val="0"/>
          <w:iCs w:val="0"/>
          <w:caps w:val="0"/>
          <w:color w:val="3E3D40"/>
          <w:spacing w:val="0"/>
          <w:sz w:val="24"/>
          <w:szCs w:val="24"/>
          <w:shd w:val="clear" w:fill="FFFFFF"/>
        </w:rPr>
        <w:t xml:space="preserve"> has been discussed</w:t>
      </w:r>
      <w:r>
        <w:rPr>
          <w:rFonts w:hint="default" w:eastAsia="Georgia" w:cs="Georgia" w:asciiTheme="minorAscii" w:hAnsiTheme="minorAscii"/>
          <w:i w:val="0"/>
          <w:iCs w:val="0"/>
          <w:caps w:val="0"/>
          <w:color w:val="3E3D40"/>
          <w:spacing w:val="0"/>
          <w:sz w:val="24"/>
          <w:szCs w:val="24"/>
          <w:shd w:val="clear" w:fill="FFFFFF"/>
          <w:lang w:val="en-IN"/>
        </w:rPr>
        <w:t xml:space="preserve"> the</w:t>
      </w:r>
      <w:r>
        <w:rPr>
          <w:rFonts w:hint="default" w:eastAsia="Georgia" w:cs="Georgia" w:asciiTheme="minorAscii" w:hAnsiTheme="minorAscii"/>
          <w:i w:val="0"/>
          <w:iCs w:val="0"/>
          <w:caps w:val="0"/>
          <w:color w:val="3E3D40"/>
          <w:spacing w:val="0"/>
          <w:sz w:val="24"/>
          <w:szCs w:val="24"/>
          <w:shd w:val="clear" w:fill="FFFFFF"/>
        </w:rPr>
        <w:t> </w:t>
      </w:r>
      <w:r>
        <w:rPr>
          <w:rFonts w:hint="default" w:eastAsia="Georgia" w:cs="Georgia" w:asciiTheme="minorAscii" w:hAnsiTheme="minorAscii"/>
          <w:b w:val="0"/>
          <w:bCs w:val="0"/>
          <w:i w:val="0"/>
          <w:iCs w:val="0"/>
          <w:caps w:val="0"/>
          <w:color w:val="3E3D40"/>
          <w:spacing w:val="0"/>
          <w:sz w:val="24"/>
          <w:szCs w:val="24"/>
          <w:shd w:val="clear" w:fill="FFFFFF"/>
        </w:rPr>
        <w:t>viral invasion reaching the CNS through the olfactory bulb modulates brain cytokines in the brainstem, which could be related to elevation in the body temperature as well as disease progression.</w:t>
      </w:r>
    </w:p>
    <w:p>
      <w:pPr>
        <w:rPr>
          <w:rFonts w:hint="default" w:eastAsia="Georgia" w:cs="Georgia" w:asciiTheme="minorAscii" w:hAnsiTheme="minorAscii"/>
          <w:b/>
          <w:bCs/>
          <w:i w:val="0"/>
          <w:iCs w:val="0"/>
          <w:caps w:val="0"/>
          <w:color w:val="3E3D40"/>
          <w:spacing w:val="0"/>
          <w:sz w:val="24"/>
          <w:szCs w:val="24"/>
          <w:shd w:val="clear" w:fill="FFFFFF"/>
        </w:rPr>
      </w:pP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70" w:afterAutospacing="0"/>
        <w:ind w:left="0" w:right="0" w:firstLine="960" w:firstLineChars="400"/>
        <w:jc w:val="both"/>
        <w:textAlignment w:val="baseline"/>
        <w:rPr>
          <w:rFonts w:hint="default" w:eastAsia="SimSun" w:cs="SimSun" w:asciiTheme="minorAscii" w:hAnsiTheme="minorAscii"/>
          <w:b/>
          <w:bCs/>
          <w:sz w:val="24"/>
          <w:szCs w:val="24"/>
        </w:rPr>
      </w:pPr>
      <w:r>
        <w:rPr>
          <w:rFonts w:hint="default" w:eastAsia="Georgia" w:cs="Georgia" w:asciiTheme="minorAscii" w:hAnsiTheme="minorAscii"/>
          <w:b w:val="0"/>
          <w:bCs w:val="0"/>
          <w:i w:val="0"/>
          <w:iCs w:val="0"/>
          <w:caps w:val="0"/>
          <w:color w:val="2E2E2E"/>
          <w:spacing w:val="0"/>
          <w:sz w:val="24"/>
          <w:szCs w:val="24"/>
        </w:rPr>
        <w:t>Chemical transmission between neurosecretory cells is a central biological phenomenon. Detecting neurotransmitter molecules released in the brain or in cell cultures is key to understanding how, when, and where chemical transmission</w:t>
      </w:r>
      <w:r>
        <w:rPr>
          <w:rFonts w:hint="default" w:eastAsia="Georgia" w:cs="Georgia" w:asciiTheme="minorAscii" w:hAnsiTheme="minorAscii"/>
          <w:i w:val="0"/>
          <w:iCs w:val="0"/>
          <w:caps w:val="0"/>
          <w:color w:val="2E2E2E"/>
          <w:spacing w:val="0"/>
          <w:sz w:val="24"/>
          <w:szCs w:val="24"/>
        </w:rPr>
        <w:t xml:space="preserve"> occurs. Carbon fiber microelectrodes provide a common basis for detecting not only dopamine but also a wide variety of neurotransmitters ranging from </w:t>
      </w:r>
      <w:r>
        <w:rPr>
          <w:rFonts w:hint="default" w:eastAsia="Georgia" w:cs="Georgia" w:asciiTheme="minorAscii" w:hAnsiTheme="minorAscii"/>
          <w:i w:val="0"/>
          <w:iCs w:val="0"/>
          <w:caps w:val="0"/>
          <w:color w:val="2E2E2E"/>
          <w:spacing w:val="0"/>
          <w:sz w:val="24"/>
          <w:szCs w:val="24"/>
          <w:u w:val="none"/>
        </w:rPr>
        <w:fldChar w:fldCharType="begin"/>
      </w:r>
      <w:r>
        <w:rPr>
          <w:rFonts w:hint="default" w:eastAsia="Georgia" w:cs="Georgia" w:asciiTheme="minorAscii" w:hAnsiTheme="minorAscii"/>
          <w:i w:val="0"/>
          <w:iCs w:val="0"/>
          <w:caps w:val="0"/>
          <w:color w:val="2E2E2E"/>
          <w:spacing w:val="0"/>
          <w:sz w:val="24"/>
          <w:szCs w:val="24"/>
          <w:u w:val="none"/>
        </w:rPr>
        <w:instrText xml:space="preserve"> HYPERLINK "https://www.sciencedirect.com/topics/chemistry/biogenic-amine" \o "Learn more about biogenic amines from ScienceDirect's AI-generated Topic Pages" </w:instrText>
      </w:r>
      <w:r>
        <w:rPr>
          <w:rFonts w:hint="default" w:eastAsia="Georgia" w:cs="Georgia" w:asciiTheme="minorAscii" w:hAnsiTheme="minorAscii"/>
          <w:i w:val="0"/>
          <w:iCs w:val="0"/>
          <w:caps w:val="0"/>
          <w:color w:val="2E2E2E"/>
          <w:spacing w:val="0"/>
          <w:sz w:val="24"/>
          <w:szCs w:val="24"/>
          <w:u w:val="none"/>
        </w:rPr>
        <w:fldChar w:fldCharType="separate"/>
      </w:r>
      <w:r>
        <w:rPr>
          <w:rStyle w:val="7"/>
          <w:rFonts w:hint="default" w:eastAsia="Georgia" w:cs="Georgia" w:asciiTheme="minorAscii" w:hAnsiTheme="minorAscii"/>
          <w:i w:val="0"/>
          <w:iCs w:val="0"/>
          <w:caps w:val="0"/>
          <w:color w:val="2E2E2E"/>
          <w:spacing w:val="0"/>
          <w:sz w:val="24"/>
          <w:szCs w:val="24"/>
          <w:u w:val="none"/>
        </w:rPr>
        <w:t>biogenic amines</w:t>
      </w:r>
      <w:r>
        <w:rPr>
          <w:rFonts w:hint="default" w:eastAsia="Georgia" w:cs="Georgia" w:asciiTheme="minorAscii" w:hAnsiTheme="minorAscii"/>
          <w:i w:val="0"/>
          <w:iCs w:val="0"/>
          <w:caps w:val="0"/>
          <w:color w:val="2E2E2E"/>
          <w:spacing w:val="0"/>
          <w:sz w:val="24"/>
          <w:szCs w:val="24"/>
          <w:u w:val="none"/>
        </w:rPr>
        <w:fldChar w:fldCharType="end"/>
      </w:r>
      <w:r>
        <w:rPr>
          <w:rFonts w:hint="default" w:eastAsia="Georgia" w:cs="Georgia" w:asciiTheme="minorAscii" w:hAnsiTheme="minorAscii"/>
          <w:i w:val="0"/>
          <w:iCs w:val="0"/>
          <w:caps w:val="0"/>
          <w:color w:val="2E2E2E"/>
          <w:spacing w:val="0"/>
          <w:sz w:val="24"/>
          <w:szCs w:val="24"/>
          <w:u w:val="none"/>
        </w:rPr>
        <w:t>, </w:t>
      </w:r>
      <w:r>
        <w:rPr>
          <w:rFonts w:hint="default" w:eastAsia="Georgia" w:cs="Georgia" w:asciiTheme="minorAscii" w:hAnsiTheme="minorAscii"/>
          <w:i w:val="0"/>
          <w:iCs w:val="0"/>
          <w:caps w:val="0"/>
          <w:color w:val="2E2E2E"/>
          <w:spacing w:val="0"/>
          <w:sz w:val="24"/>
          <w:szCs w:val="24"/>
          <w:u w:val="none"/>
        </w:rPr>
        <w:fldChar w:fldCharType="begin"/>
      </w:r>
      <w:r>
        <w:rPr>
          <w:rFonts w:hint="default" w:eastAsia="Georgia" w:cs="Georgia" w:asciiTheme="minorAscii" w:hAnsiTheme="minorAscii"/>
          <w:i w:val="0"/>
          <w:iCs w:val="0"/>
          <w:caps w:val="0"/>
          <w:color w:val="2E2E2E"/>
          <w:spacing w:val="0"/>
          <w:sz w:val="24"/>
          <w:szCs w:val="24"/>
          <w:u w:val="none"/>
        </w:rPr>
        <w:instrText xml:space="preserve"> HYPERLINK "https://www.sciencedirect.com/topics/engineering/purine" \o "Learn more about purines from ScienceDirect's AI-generated Topic Pages" </w:instrText>
      </w:r>
      <w:r>
        <w:rPr>
          <w:rFonts w:hint="default" w:eastAsia="Georgia" w:cs="Georgia" w:asciiTheme="minorAscii" w:hAnsiTheme="minorAscii"/>
          <w:i w:val="0"/>
          <w:iCs w:val="0"/>
          <w:caps w:val="0"/>
          <w:color w:val="2E2E2E"/>
          <w:spacing w:val="0"/>
          <w:sz w:val="24"/>
          <w:szCs w:val="24"/>
          <w:u w:val="none"/>
        </w:rPr>
        <w:fldChar w:fldCharType="separate"/>
      </w:r>
      <w:r>
        <w:rPr>
          <w:rStyle w:val="7"/>
          <w:rFonts w:hint="default" w:eastAsia="Georgia" w:cs="Georgia" w:asciiTheme="minorAscii" w:hAnsiTheme="minorAscii"/>
          <w:i w:val="0"/>
          <w:iCs w:val="0"/>
          <w:caps w:val="0"/>
          <w:color w:val="2E2E2E"/>
          <w:spacing w:val="0"/>
          <w:sz w:val="24"/>
          <w:szCs w:val="24"/>
          <w:u w:val="none"/>
        </w:rPr>
        <w:t>purines</w:t>
      </w:r>
      <w:r>
        <w:rPr>
          <w:rFonts w:hint="default" w:eastAsia="Georgia" w:cs="Georgia" w:asciiTheme="minorAscii" w:hAnsiTheme="minorAscii"/>
          <w:i w:val="0"/>
          <w:iCs w:val="0"/>
          <w:caps w:val="0"/>
          <w:color w:val="2E2E2E"/>
          <w:spacing w:val="0"/>
          <w:sz w:val="24"/>
          <w:szCs w:val="24"/>
          <w:u w:val="none"/>
        </w:rPr>
        <w:fldChar w:fldCharType="end"/>
      </w:r>
      <w:r>
        <w:rPr>
          <w:rFonts w:hint="default" w:eastAsia="Georgia" w:cs="Georgia" w:asciiTheme="minorAscii" w:hAnsiTheme="minorAscii"/>
          <w:i w:val="0"/>
          <w:iCs w:val="0"/>
          <w:caps w:val="0"/>
          <w:color w:val="2E2E2E"/>
          <w:spacing w:val="0"/>
          <w:sz w:val="24"/>
          <w:szCs w:val="24"/>
        </w:rPr>
        <w:t>, and amino acids to</w:t>
      </w:r>
      <w:r>
        <w:rPr>
          <w:rFonts w:hint="default" w:eastAsia="Georgia" w:cs="Georgia" w:asciiTheme="minorAscii" w:hAnsiTheme="minorAscii"/>
          <w:i w:val="0"/>
          <w:iCs w:val="0"/>
          <w:caps w:val="0"/>
          <w:color w:val="2E2E2E"/>
          <w:spacing w:val="0"/>
          <w:sz w:val="24"/>
          <w:szCs w:val="24"/>
          <w:u w:val="none"/>
        </w:rPr>
        <w:t> </w:t>
      </w:r>
      <w:r>
        <w:rPr>
          <w:rFonts w:hint="default" w:eastAsia="Georgia" w:cs="Georgia" w:asciiTheme="minorAscii" w:hAnsiTheme="minorAscii"/>
          <w:i w:val="0"/>
          <w:iCs w:val="0"/>
          <w:caps w:val="0"/>
          <w:color w:val="2E2E2E"/>
          <w:spacing w:val="0"/>
          <w:sz w:val="24"/>
          <w:szCs w:val="24"/>
          <w:u w:val="none"/>
        </w:rPr>
        <w:fldChar w:fldCharType="begin"/>
      </w:r>
      <w:r>
        <w:rPr>
          <w:rFonts w:hint="default" w:eastAsia="Georgia" w:cs="Georgia" w:asciiTheme="minorAscii" w:hAnsiTheme="minorAscii"/>
          <w:i w:val="0"/>
          <w:iCs w:val="0"/>
          <w:caps w:val="0"/>
          <w:color w:val="2E2E2E"/>
          <w:spacing w:val="0"/>
          <w:sz w:val="24"/>
          <w:szCs w:val="24"/>
          <w:u w:val="none"/>
        </w:rPr>
        <w:instrText xml:space="preserve"> HYPERLINK "https://www.sciencedirect.com/topics/chemistry/radical-chemistry" \o "Learn more about free radicals from ScienceDirect's AI-generated Topic Pages" </w:instrText>
      </w:r>
      <w:r>
        <w:rPr>
          <w:rFonts w:hint="default" w:eastAsia="Georgia" w:cs="Georgia" w:asciiTheme="minorAscii" w:hAnsiTheme="minorAscii"/>
          <w:i w:val="0"/>
          <w:iCs w:val="0"/>
          <w:caps w:val="0"/>
          <w:color w:val="2E2E2E"/>
          <w:spacing w:val="0"/>
          <w:sz w:val="24"/>
          <w:szCs w:val="24"/>
          <w:u w:val="none"/>
        </w:rPr>
        <w:fldChar w:fldCharType="separate"/>
      </w:r>
      <w:r>
        <w:rPr>
          <w:rStyle w:val="7"/>
          <w:rFonts w:hint="default" w:eastAsia="Georgia" w:cs="Georgia" w:asciiTheme="minorAscii" w:hAnsiTheme="minorAscii"/>
          <w:i w:val="0"/>
          <w:iCs w:val="0"/>
          <w:caps w:val="0"/>
          <w:color w:val="2E2E2E"/>
          <w:spacing w:val="0"/>
          <w:sz w:val="24"/>
          <w:szCs w:val="24"/>
          <w:u w:val="none"/>
        </w:rPr>
        <w:t>free radicals</w:t>
      </w:r>
      <w:r>
        <w:rPr>
          <w:rFonts w:hint="default" w:eastAsia="Georgia" w:cs="Georgia" w:asciiTheme="minorAscii" w:hAnsiTheme="minorAscii"/>
          <w:i w:val="0"/>
          <w:iCs w:val="0"/>
          <w:caps w:val="0"/>
          <w:color w:val="2E2E2E"/>
          <w:spacing w:val="0"/>
          <w:sz w:val="24"/>
          <w:szCs w:val="24"/>
          <w:u w:val="none"/>
        </w:rPr>
        <w:fldChar w:fldCharType="end"/>
      </w:r>
      <w:r>
        <w:rPr>
          <w:rFonts w:hint="default" w:eastAsia="Georgia" w:cs="Georgia" w:asciiTheme="minorAscii" w:hAnsiTheme="minorAscii"/>
          <w:i w:val="0"/>
          <w:iCs w:val="0"/>
          <w:caps w:val="0"/>
          <w:color w:val="2E2E2E"/>
          <w:spacing w:val="0"/>
          <w:sz w:val="24"/>
          <w:szCs w:val="24"/>
        </w:rPr>
        <w:t> and peptides.</w:t>
      </w:r>
      <w:r>
        <w:rPr>
          <w:rFonts w:hint="default" w:eastAsia="Georgia" w:cs="Georgia" w:asciiTheme="minorAscii" w:hAnsiTheme="minorAscii"/>
          <w:i w:val="0"/>
          <w:iCs w:val="0"/>
          <w:caps w:val="0"/>
          <w:color w:val="2E2E2E"/>
          <w:spacing w:val="0"/>
          <w:sz w:val="24"/>
          <w:szCs w:val="24"/>
          <w:lang w:val="en-IN"/>
        </w:rPr>
        <w:t xml:space="preserve"> </w:t>
      </w:r>
      <w:r>
        <w:rPr>
          <w:rFonts w:hint="default" w:eastAsia="Georgia" w:cs="Georgia" w:asciiTheme="minorAscii" w:hAnsiTheme="minorAscii"/>
          <w:i w:val="0"/>
          <w:iCs w:val="0"/>
          <w:caps w:val="0"/>
          <w:color w:val="000000"/>
          <w:spacing w:val="0"/>
          <w:sz w:val="24"/>
          <w:szCs w:val="24"/>
          <w:shd w:val="clear" w:fill="FFFFFF"/>
        </w:rPr>
        <w:t>Research</w:t>
      </w:r>
      <w:r>
        <w:rPr>
          <w:rFonts w:hint="default" w:eastAsia="Georgia" w:cs="Georgia" w:asciiTheme="minorAscii" w:hAnsiTheme="minorAscii"/>
          <w:i w:val="0"/>
          <w:iCs w:val="0"/>
          <w:caps w:val="0"/>
          <w:color w:val="000000"/>
          <w:spacing w:val="0"/>
          <w:sz w:val="24"/>
          <w:szCs w:val="24"/>
          <w:shd w:val="clear" w:fill="FFFFFF"/>
          <w:lang w:val="en-IN"/>
        </w:rPr>
        <w:t>ers</w:t>
      </w:r>
      <w:r>
        <w:rPr>
          <w:rFonts w:hint="default" w:eastAsia="Georgia" w:cs="Georgia" w:asciiTheme="minorAscii" w:hAnsiTheme="minorAscii"/>
          <w:i w:val="0"/>
          <w:iCs w:val="0"/>
          <w:caps w:val="0"/>
          <w:color w:val="000000"/>
          <w:spacing w:val="0"/>
          <w:sz w:val="24"/>
          <w:szCs w:val="24"/>
          <w:shd w:val="clear" w:fill="FFFFFF"/>
        </w:rPr>
        <w:t xml:space="preserve"> suggests that the virus may gain access to the brain via the</w:t>
      </w:r>
      <w:r>
        <w:rPr>
          <w:rFonts w:hint="default" w:eastAsia="Georgia" w:cs="Georgia" w:asciiTheme="minorAscii" w:hAnsiTheme="minorAscii"/>
          <w:i w:val="0"/>
          <w:iCs w:val="0"/>
          <w:caps w:val="0"/>
          <w:color w:val="000000"/>
          <w:spacing w:val="0"/>
          <w:sz w:val="24"/>
          <w:szCs w:val="24"/>
          <w:u w:val="none"/>
          <w:shd w:val="clear" w:fill="FFFFFF"/>
        </w:rPr>
        <w:t> </w:t>
      </w:r>
      <w:r>
        <w:rPr>
          <w:rFonts w:hint="default" w:eastAsia="Georgia" w:cs="Georgia" w:asciiTheme="minorAscii" w:hAnsiTheme="minorAscii"/>
          <w:i w:val="0"/>
          <w:iCs w:val="0"/>
          <w:caps w:val="0"/>
          <w:color w:val="383838"/>
          <w:spacing w:val="0"/>
          <w:sz w:val="24"/>
          <w:szCs w:val="24"/>
          <w:u w:val="none"/>
          <w:shd w:val="clear" w:fill="FFFFFF"/>
        </w:rPr>
        <w:fldChar w:fldCharType="begin"/>
      </w:r>
      <w:r>
        <w:rPr>
          <w:rFonts w:hint="default" w:eastAsia="Georgia" w:cs="Georgia" w:asciiTheme="minorAscii" w:hAnsiTheme="minorAscii"/>
          <w:i w:val="0"/>
          <w:iCs w:val="0"/>
          <w:caps w:val="0"/>
          <w:color w:val="383838"/>
          <w:spacing w:val="0"/>
          <w:sz w:val="24"/>
          <w:szCs w:val="24"/>
          <w:u w:val="none"/>
          <w:shd w:val="clear" w:fill="FFFFFF"/>
        </w:rPr>
        <w:instrText xml:space="preserve"> HYPERLINK "https://jamanetwork.com/journals/jama/fullarticle/2766523" </w:instrText>
      </w:r>
      <w:r>
        <w:rPr>
          <w:rFonts w:hint="default" w:eastAsia="Georgia" w:cs="Georgia" w:asciiTheme="minorAscii" w:hAnsiTheme="minorAscii"/>
          <w:i w:val="0"/>
          <w:iCs w:val="0"/>
          <w:caps w:val="0"/>
          <w:color w:val="383838"/>
          <w:spacing w:val="0"/>
          <w:sz w:val="24"/>
          <w:szCs w:val="24"/>
          <w:u w:val="none"/>
          <w:shd w:val="clear" w:fill="FFFFFF"/>
        </w:rPr>
        <w:fldChar w:fldCharType="separate"/>
      </w:r>
      <w:r>
        <w:rPr>
          <w:rStyle w:val="7"/>
          <w:rFonts w:hint="default" w:eastAsia="Georgia" w:cs="Georgia" w:asciiTheme="minorAscii" w:hAnsiTheme="minorAscii"/>
          <w:i w:val="0"/>
          <w:iCs w:val="0"/>
          <w:caps w:val="0"/>
          <w:color w:val="383838"/>
          <w:spacing w:val="0"/>
          <w:sz w:val="24"/>
          <w:szCs w:val="24"/>
          <w:u w:val="none"/>
          <w:shd w:val="clear" w:fill="FFFFFF"/>
        </w:rPr>
        <w:t>forebrain’s olfactory bulb</w:t>
      </w:r>
      <w:r>
        <w:rPr>
          <w:rFonts w:hint="default" w:eastAsia="Georgia" w:cs="Georgia" w:asciiTheme="minorAscii" w:hAnsiTheme="minorAscii"/>
          <w:i w:val="0"/>
          <w:iCs w:val="0"/>
          <w:caps w:val="0"/>
          <w:color w:val="383838"/>
          <w:spacing w:val="0"/>
          <w:sz w:val="24"/>
          <w:szCs w:val="24"/>
          <w:u w:val="none"/>
          <w:shd w:val="clear" w:fill="FFFFFF"/>
        </w:rPr>
        <w:fldChar w:fldCharType="end"/>
      </w:r>
      <w:r>
        <w:rPr>
          <w:rFonts w:hint="default" w:eastAsia="Georgia" w:cs="Georgia" w:asciiTheme="minorAscii" w:hAnsiTheme="minorAscii"/>
          <w:i w:val="0"/>
          <w:iCs w:val="0"/>
          <w:caps w:val="0"/>
          <w:color w:val="000000"/>
          <w:spacing w:val="0"/>
          <w:sz w:val="24"/>
          <w:szCs w:val="24"/>
          <w:shd w:val="clear" w:fill="FFFFFF"/>
        </w:rPr>
        <w:t>, which is important for the processing of smell. </w:t>
      </w:r>
      <w:r>
        <w:rPr>
          <w:rFonts w:hint="default" w:eastAsia="Georgia" w:cs="Georgia" w:asciiTheme="minorAscii" w:hAnsiTheme="minorAscii"/>
          <w:i w:val="0"/>
          <w:iCs w:val="0"/>
          <w:caps w:val="0"/>
          <w:color w:val="293299"/>
          <w:spacing w:val="0"/>
          <w:sz w:val="24"/>
          <w:szCs w:val="24"/>
          <w:u w:val="none"/>
          <w:shd w:val="clear" w:fill="FFFFFF"/>
        </w:rPr>
        <w:fldChar w:fldCharType="begin"/>
      </w:r>
      <w:r>
        <w:rPr>
          <w:rFonts w:hint="default" w:eastAsia="Georgia" w:cs="Georgia" w:asciiTheme="minorAscii" w:hAnsiTheme="minorAscii"/>
          <w:i w:val="0"/>
          <w:iCs w:val="0"/>
          <w:caps w:val="0"/>
          <w:color w:val="293299"/>
          <w:spacing w:val="0"/>
          <w:sz w:val="24"/>
          <w:szCs w:val="24"/>
          <w:u w:val="none"/>
          <w:shd w:val="clear" w:fill="FFFFFF"/>
        </w:rPr>
        <w:instrText xml:space="preserve"> HYPERLINK "https://theconversation.com/coronavirus-scientists-uncover-why-some-people-lose-their-sense-of-smell-138898" </w:instrText>
      </w:r>
      <w:r>
        <w:rPr>
          <w:rFonts w:hint="default" w:eastAsia="Georgia" w:cs="Georgia" w:asciiTheme="minorAscii" w:hAnsiTheme="minorAscii"/>
          <w:i w:val="0"/>
          <w:iCs w:val="0"/>
          <w:caps w:val="0"/>
          <w:color w:val="293299"/>
          <w:spacing w:val="0"/>
          <w:sz w:val="24"/>
          <w:szCs w:val="24"/>
          <w:u w:val="none"/>
          <w:shd w:val="clear" w:fill="FFFFFF"/>
        </w:rPr>
        <w:fldChar w:fldCharType="separate"/>
      </w:r>
      <w:r>
        <w:rPr>
          <w:rStyle w:val="7"/>
          <w:rFonts w:hint="default" w:eastAsia="Georgia" w:cs="Georgia" w:asciiTheme="minorAscii" w:hAnsiTheme="minorAscii"/>
          <w:i w:val="0"/>
          <w:iCs w:val="0"/>
          <w:caps w:val="0"/>
          <w:color w:val="293299"/>
          <w:spacing w:val="0"/>
          <w:sz w:val="24"/>
          <w:szCs w:val="24"/>
          <w:u w:val="none"/>
          <w:shd w:val="clear" w:fill="FFFFFF"/>
        </w:rPr>
        <w:t>Loss of smell</w:t>
      </w:r>
      <w:r>
        <w:rPr>
          <w:rFonts w:hint="default" w:eastAsia="Georgia" w:cs="Georgia" w:asciiTheme="minorAscii" w:hAnsiTheme="minorAscii"/>
          <w:i w:val="0"/>
          <w:iCs w:val="0"/>
          <w:caps w:val="0"/>
          <w:color w:val="293299"/>
          <w:spacing w:val="0"/>
          <w:sz w:val="24"/>
          <w:szCs w:val="24"/>
          <w:u w:val="none"/>
          <w:shd w:val="clear" w:fill="FFFFFF"/>
        </w:rPr>
        <w:fldChar w:fldCharType="end"/>
      </w:r>
      <w:r>
        <w:rPr>
          <w:rFonts w:hint="default" w:eastAsia="Georgia" w:cs="Georgia" w:asciiTheme="minorAscii" w:hAnsiTheme="minorAscii"/>
          <w:i w:val="0"/>
          <w:iCs w:val="0"/>
          <w:caps w:val="0"/>
          <w:color w:val="000000"/>
          <w:spacing w:val="0"/>
          <w:sz w:val="24"/>
          <w:szCs w:val="24"/>
          <w:shd w:val="clear" w:fill="FFFFFF"/>
        </w:rPr>
        <w:t> is a symptom in many patients with COVID-19.</w:t>
      </w:r>
      <w:r>
        <w:rPr>
          <w:rFonts w:hint="default" w:eastAsia="Georgia" w:cs="Georgia" w:asciiTheme="minorAscii" w:hAnsiTheme="minorAscii"/>
          <w:i w:val="0"/>
          <w:iCs w:val="0"/>
          <w:caps w:val="0"/>
          <w:color w:val="000000"/>
          <w:spacing w:val="0"/>
          <w:sz w:val="24"/>
          <w:szCs w:val="24"/>
          <w:shd w:val="clear" w:fill="FFFFFF"/>
          <w:lang w:val="en-IN"/>
        </w:rPr>
        <w:t xml:space="preserve"> T</w:t>
      </w:r>
      <w:r>
        <w:rPr>
          <w:rFonts w:hint="default" w:eastAsia="Georgia" w:cs="Georgia" w:asciiTheme="minorAscii" w:hAnsiTheme="minorAscii"/>
          <w:i w:val="0"/>
          <w:iCs w:val="0"/>
          <w:caps w:val="0"/>
          <w:color w:val="000000"/>
          <w:spacing w:val="0"/>
          <w:sz w:val="24"/>
          <w:szCs w:val="24"/>
          <w:shd w:val="clear" w:fill="FFFFFF"/>
          <w:vertAlign w:val="baseline"/>
        </w:rPr>
        <w:t>he olfactory bulb is</w:t>
      </w:r>
      <w:r>
        <w:rPr>
          <w:rFonts w:hint="default" w:eastAsia="Georgia" w:cs="Georgia" w:asciiTheme="minorAscii" w:hAnsiTheme="minorAscii"/>
          <w:i w:val="0"/>
          <w:iCs w:val="0"/>
          <w:caps w:val="0"/>
          <w:color w:val="000000"/>
          <w:spacing w:val="0"/>
          <w:sz w:val="24"/>
          <w:szCs w:val="24"/>
          <w:u w:val="none"/>
          <w:shd w:val="clear" w:fill="FFFFFF"/>
          <w:vertAlign w:val="baseline"/>
        </w:rPr>
        <w:t> </w:t>
      </w:r>
      <w:r>
        <w:rPr>
          <w:rFonts w:hint="default" w:eastAsia="Georgia" w:cs="Georgia" w:asciiTheme="minorAscii" w:hAnsiTheme="minorAscii"/>
          <w:i w:val="0"/>
          <w:iCs w:val="0"/>
          <w:caps w:val="0"/>
          <w:color w:val="383838"/>
          <w:spacing w:val="0"/>
          <w:sz w:val="24"/>
          <w:szCs w:val="24"/>
          <w:u w:val="none"/>
          <w:shd w:val="clear" w:fill="FFFFFF"/>
          <w:vertAlign w:val="baseline"/>
        </w:rPr>
        <w:fldChar w:fldCharType="begin"/>
      </w:r>
      <w:r>
        <w:rPr>
          <w:rFonts w:hint="default" w:eastAsia="Georgia" w:cs="Georgia" w:asciiTheme="minorAscii" w:hAnsiTheme="minorAscii"/>
          <w:i w:val="0"/>
          <w:iCs w:val="0"/>
          <w:caps w:val="0"/>
          <w:color w:val="383838"/>
          <w:spacing w:val="0"/>
          <w:sz w:val="24"/>
          <w:szCs w:val="24"/>
          <w:u w:val="none"/>
          <w:shd w:val="clear" w:fill="FFFFFF"/>
          <w:vertAlign w:val="baseline"/>
        </w:rPr>
        <w:instrText xml:space="preserve"> HYPERLINK "https://www.ncbi.nlm.nih.gov/pmc/articles/PMC5306133/" </w:instrText>
      </w:r>
      <w:r>
        <w:rPr>
          <w:rFonts w:hint="default" w:eastAsia="Georgia" w:cs="Georgia" w:asciiTheme="minorAscii" w:hAnsiTheme="minorAscii"/>
          <w:i w:val="0"/>
          <w:iCs w:val="0"/>
          <w:caps w:val="0"/>
          <w:color w:val="383838"/>
          <w:spacing w:val="0"/>
          <w:sz w:val="24"/>
          <w:szCs w:val="24"/>
          <w:u w:val="none"/>
          <w:shd w:val="clear" w:fill="FFFFFF"/>
          <w:vertAlign w:val="baseline"/>
        </w:rPr>
        <w:fldChar w:fldCharType="separate"/>
      </w:r>
      <w:r>
        <w:rPr>
          <w:rStyle w:val="7"/>
          <w:rFonts w:hint="default" w:eastAsia="Georgia" w:cs="Georgia" w:asciiTheme="minorAscii" w:hAnsiTheme="minorAscii"/>
          <w:i w:val="0"/>
          <w:iCs w:val="0"/>
          <w:caps w:val="0"/>
          <w:color w:val="383838"/>
          <w:spacing w:val="0"/>
          <w:sz w:val="24"/>
          <w:szCs w:val="24"/>
          <w:u w:val="none"/>
          <w:shd w:val="clear" w:fill="FFFFFF"/>
          <w:vertAlign w:val="baseline"/>
        </w:rPr>
        <w:t>rich in the chemical</w:t>
      </w:r>
      <w:r>
        <w:rPr>
          <w:rFonts w:hint="default" w:eastAsia="Georgia" w:cs="Georgia" w:asciiTheme="minorAscii" w:hAnsiTheme="minorAscii"/>
          <w:i w:val="0"/>
          <w:iCs w:val="0"/>
          <w:caps w:val="0"/>
          <w:color w:val="383838"/>
          <w:spacing w:val="0"/>
          <w:sz w:val="24"/>
          <w:szCs w:val="24"/>
          <w:u w:val="none"/>
          <w:shd w:val="clear" w:fill="FFFFFF"/>
          <w:vertAlign w:val="baseline"/>
        </w:rPr>
        <w:fldChar w:fldCharType="end"/>
      </w:r>
      <w:r>
        <w:rPr>
          <w:rFonts w:hint="default" w:eastAsia="Georgia" w:cs="Georgia" w:asciiTheme="minorAscii" w:hAnsiTheme="minorAscii"/>
          <w:i w:val="0"/>
          <w:iCs w:val="0"/>
          <w:caps w:val="0"/>
          <w:color w:val="000000"/>
          <w:spacing w:val="0"/>
          <w:sz w:val="24"/>
          <w:szCs w:val="24"/>
          <w:shd w:val="clear" w:fill="FFFFFF"/>
          <w:vertAlign w:val="baseline"/>
        </w:rPr>
        <w:t> dopamine, which is important for pleasure, motivation and action. It may be that COVID-19 alters the levels of dopamine and other chemicals, such as serotonin and acetylcholine, in the brai</w:t>
      </w:r>
      <w:r>
        <w:rPr>
          <w:rFonts w:hint="default" w:eastAsia="Georgia" w:cs="Georgia" w:asciiTheme="minorAscii" w:hAnsiTheme="minorAscii"/>
          <w:i w:val="0"/>
          <w:iCs w:val="0"/>
          <w:caps w:val="0"/>
          <w:color w:val="000000"/>
          <w:spacing w:val="0"/>
          <w:sz w:val="24"/>
          <w:szCs w:val="24"/>
          <w:shd w:val="clear" w:fill="FFFFFF"/>
          <w:vertAlign w:val="baseline"/>
          <w:lang w:val="en-IN"/>
        </w:rPr>
        <w:t>n and a</w:t>
      </w:r>
      <w:r>
        <w:rPr>
          <w:rFonts w:hint="default" w:eastAsia="Georgia" w:cs="Georgia" w:asciiTheme="minorAscii" w:hAnsiTheme="minorAscii"/>
          <w:i w:val="0"/>
          <w:iCs w:val="0"/>
          <w:caps w:val="0"/>
          <w:color w:val="000000"/>
          <w:spacing w:val="0"/>
          <w:sz w:val="24"/>
          <w:szCs w:val="24"/>
          <w:shd w:val="clear" w:fill="FFFFFF"/>
          <w:vertAlign w:val="baseline"/>
        </w:rPr>
        <w:t>ll these chemicals are known to be involved in attention, learning, memory and mood</w:t>
      </w:r>
      <w:r>
        <w:rPr>
          <w:rFonts w:hint="default" w:eastAsia="Georgia" w:cs="Georgia" w:asciiTheme="minorAscii" w:hAnsiTheme="minorAscii"/>
          <w:i w:val="0"/>
          <w:iCs w:val="0"/>
          <w:caps w:val="0"/>
          <w:color w:val="000000"/>
          <w:spacing w:val="0"/>
          <w:sz w:val="24"/>
          <w:szCs w:val="24"/>
          <w:shd w:val="clear" w:fill="FFFFFF"/>
          <w:vertAlign w:val="baseline"/>
          <w:lang w:val="en-IN"/>
        </w:rPr>
        <w:t xml:space="preserve">, </w:t>
      </w:r>
      <w:r>
        <w:rPr>
          <w:rFonts w:hint="default" w:eastAsia="Georgia" w:cs="Georgia" w:asciiTheme="minorAscii" w:hAnsiTheme="minorAscii"/>
          <w:i w:val="0"/>
          <w:iCs w:val="0"/>
          <w:caps w:val="0"/>
          <w:color w:val="000000"/>
          <w:spacing w:val="0"/>
          <w:sz w:val="24"/>
          <w:szCs w:val="24"/>
          <w:shd w:val="clear" w:fill="FFFFFF"/>
          <w:vertAlign w:val="baseline"/>
        </w:rPr>
        <w:t>that are commonly experienced by COVID-19 patients.</w:t>
      </w:r>
      <w:r>
        <w:rPr>
          <w:rFonts w:hint="default" w:eastAsia="SimSun" w:cs="SimSun" w:asciiTheme="minorAscii" w:hAnsiTheme="minorAscii"/>
          <w:sz w:val="24"/>
          <w:szCs w:val="24"/>
        </w:rPr>
        <w:t xml:space="preserve"> Aggression &amp; COVID-19 has emerged as a global public health crisis &amp; threat</w:t>
      </w:r>
      <w:r>
        <w:rPr>
          <w:rFonts w:hint="default" w:cs="SimSun" w:asciiTheme="minorAscii" w:hAnsiTheme="minorAscii"/>
          <w:sz w:val="24"/>
          <w:szCs w:val="24"/>
          <w:lang w:val="en-IN"/>
        </w:rPr>
        <w:t xml:space="preserve">s. </w:t>
      </w:r>
      <w:r>
        <w:rPr>
          <w:rFonts w:hint="default" w:eastAsia="SimSun" w:cs="SimSun" w:asciiTheme="minorAscii" w:hAnsiTheme="minorAscii"/>
          <w:sz w:val="24"/>
          <w:szCs w:val="24"/>
        </w:rPr>
        <w:t>Aggression in humans may be associated with decreased functioning in orbital and dorsolateral prefrontal cortical areas, and increased functioning in medial temporal (especially amygdala) brain regions. All neuronal pathways are complex. Studies showed that aggression in humans is due to decreased level of serotonin neurotransmitter</w:t>
      </w:r>
      <w:r>
        <w:rPr>
          <w:rFonts w:hint="default" w:cs="SimSun" w:asciiTheme="minorAscii" w:hAnsiTheme="minorAscii"/>
          <w:sz w:val="24"/>
          <w:szCs w:val="24"/>
          <w:lang w:val="en-IN"/>
        </w:rPr>
        <w:t xml:space="preserve">. </w:t>
      </w:r>
      <w:r>
        <w:rPr>
          <w:rFonts w:hint="default" w:eastAsia="SimSun" w:cs="SimSun" w:asciiTheme="minorAscii" w:hAnsiTheme="minorAscii"/>
          <w:sz w:val="24"/>
          <w:szCs w:val="24"/>
        </w:rPr>
        <w:t>The polymorphic genetic variants of the serotoninergic system are deeply affected by genetic predisposition that alters serotonin levels in the central &amp; peripheral nervous system i.e., rate of serotonin production, synaptic release &amp; pathways.</w:t>
      </w:r>
      <w:r>
        <w:rPr>
          <w:rFonts w:hint="default" w:cs="SimSun" w:asciiTheme="minorAscii" w:hAnsiTheme="minorAscii"/>
          <w:sz w:val="24"/>
          <w:szCs w:val="24"/>
          <w:lang w:val="en-IN"/>
        </w:rPr>
        <w:t xml:space="preserve"> H</w:t>
      </w:r>
      <w:r>
        <w:rPr>
          <w:rFonts w:hint="default" w:eastAsia="SimSun" w:cs="SimSun" w:asciiTheme="minorAscii" w:hAnsiTheme="minorAscii"/>
          <w:sz w:val="24"/>
          <w:szCs w:val="24"/>
        </w:rPr>
        <w:t>umans, only six common genes are present in adults &amp; children GWAS sets i.e., ALK, LAMA2, NFKBI, OSMR, RBFOXI &amp; WDR62. Out of these sets only one</w:t>
      </w:r>
      <w:r>
        <w:rPr>
          <w:rFonts w:hint="default" w:eastAsia="SimSun" w:cs="SimSun" w:asciiTheme="minorAscii" w:hAnsiTheme="minorAscii"/>
          <w:b/>
          <w:bCs/>
          <w:sz w:val="24"/>
          <w:szCs w:val="24"/>
        </w:rPr>
        <w:t xml:space="preserve"> </w:t>
      </w:r>
      <w:r>
        <w:rPr>
          <w:rFonts w:hint="default" w:eastAsia="SimSun" w:cs="SimSun" w:asciiTheme="minorAscii" w:hAnsiTheme="minorAscii"/>
          <w:b w:val="0"/>
          <w:bCs w:val="0"/>
          <w:sz w:val="24"/>
          <w:szCs w:val="24"/>
        </w:rPr>
        <w:t>RBFOXI splicing factor is responsible for many development and psychiatric disorders and aggression.</w:t>
      </w: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70" w:afterAutospacing="0"/>
        <w:ind w:left="0" w:right="0" w:firstLine="840" w:firstLineChars="350"/>
        <w:jc w:val="both"/>
        <w:textAlignment w:val="baseline"/>
        <w:rPr>
          <w:rFonts w:hint="default" w:eastAsia="Georgia" w:cs="Georgia" w:asciiTheme="minorAscii" w:hAnsiTheme="minorAscii"/>
          <w:b/>
          <w:bCs/>
          <w:i w:val="0"/>
          <w:iCs w:val="0"/>
          <w:caps w:val="0"/>
          <w:color w:val="3E3D40"/>
          <w:spacing w:val="0"/>
          <w:sz w:val="24"/>
          <w:szCs w:val="24"/>
          <w:shd w:val="clear" w:fill="FFFFFF"/>
        </w:rPr>
      </w:pPr>
      <w:r>
        <w:rPr>
          <w:rFonts w:hint="default" w:eastAsia="Georgia" w:cs="Georgia" w:asciiTheme="minorAscii" w:hAnsiTheme="minorAscii"/>
          <w:b w:val="0"/>
          <w:bCs w:val="0"/>
          <w:i w:val="0"/>
          <w:iCs w:val="0"/>
          <w:caps w:val="0"/>
          <w:color w:val="3E3D40"/>
          <w:spacing w:val="0"/>
          <w:sz w:val="24"/>
          <w:szCs w:val="24"/>
          <w:shd w:val="clear" w:fill="FFFFFF"/>
          <w:lang w:val="en-IN"/>
        </w:rPr>
        <w:t>I</w:t>
      </w:r>
      <w:r>
        <w:rPr>
          <w:rFonts w:hint="default" w:eastAsia="Georgia" w:cs="Georgia" w:asciiTheme="minorAscii" w:hAnsiTheme="minorAscii"/>
          <w:b w:val="0"/>
          <w:bCs w:val="0"/>
          <w:i w:val="0"/>
          <w:iCs w:val="0"/>
          <w:caps w:val="0"/>
          <w:color w:val="3E3D40"/>
          <w:spacing w:val="0"/>
          <w:sz w:val="24"/>
          <w:szCs w:val="24"/>
          <w:shd w:val="clear" w:fill="FFFFFF"/>
        </w:rPr>
        <w:t>ncidence and severity of COVID-19 are closely related to abnormal metabolism of inorganic salts. Serum sodium shows a decrease trend in CODIV-19 development . Hyponatremia (low blood sodium concentration) as well as low concentrations of potassium and calcium in the blood serum are also associated with COVID-19 . The functional inhibition of relevant</w:t>
      </w:r>
      <w:r>
        <w:rPr>
          <w:rFonts w:hint="default" w:eastAsia="Georgia" w:cs="Georgia" w:asciiTheme="minorAscii" w:hAnsiTheme="minorAscii"/>
          <w:b/>
          <w:bCs/>
          <w:i w:val="0"/>
          <w:iCs w:val="0"/>
          <w:caps w:val="0"/>
          <w:color w:val="3E3D40"/>
          <w:spacing w:val="0"/>
          <w:sz w:val="24"/>
          <w:szCs w:val="24"/>
          <w:shd w:val="clear" w:fill="FFFFFF"/>
        </w:rPr>
        <w:t xml:space="preserve"> </w:t>
      </w:r>
      <w:r>
        <w:rPr>
          <w:rFonts w:hint="default" w:eastAsia="Georgia" w:cs="Georgia" w:asciiTheme="minorAscii" w:hAnsiTheme="minorAscii"/>
          <w:i w:val="0"/>
          <w:iCs w:val="0"/>
          <w:caps w:val="0"/>
          <w:color w:val="3E3D40"/>
          <w:spacing w:val="0"/>
          <w:sz w:val="24"/>
          <w:szCs w:val="24"/>
          <w:shd w:val="clear" w:fill="FFFFFF"/>
        </w:rPr>
        <w:t>lung enzymes and ion channels may disturb AFC</w:t>
      </w:r>
      <w:r>
        <w:rPr>
          <w:rFonts w:hint="default" w:eastAsia="Georgia" w:cs="Georgia" w:asciiTheme="minorAscii" w:hAnsiTheme="minorAscii"/>
          <w:i w:val="0"/>
          <w:iCs w:val="0"/>
          <w:caps w:val="0"/>
          <w:color w:val="3E3D40"/>
          <w:spacing w:val="0"/>
          <w:sz w:val="24"/>
          <w:szCs w:val="24"/>
          <w:shd w:val="clear" w:fill="FFFFFF"/>
          <w:lang w:val="en-IN"/>
        </w:rPr>
        <w:t xml:space="preserve"> (alveolar fluid clearance)</w:t>
      </w:r>
      <w:r>
        <w:rPr>
          <w:rFonts w:hint="default" w:eastAsia="Georgia" w:cs="Georgia" w:asciiTheme="minorAscii" w:hAnsiTheme="minorAscii"/>
          <w:i w:val="0"/>
          <w:iCs w:val="0"/>
          <w:caps w:val="0"/>
          <w:color w:val="3E3D40"/>
          <w:spacing w:val="0"/>
          <w:sz w:val="24"/>
          <w:szCs w:val="24"/>
          <w:shd w:val="clear" w:fill="FFFFFF"/>
        </w:rPr>
        <w:t>, thus resulting pulmonary edema in COVID-19 patients</w:t>
      </w:r>
      <w:r>
        <w:rPr>
          <w:rFonts w:hint="default" w:eastAsia="Georgia" w:cs="Georgia" w:asciiTheme="minorAscii" w:hAnsiTheme="minorAscii"/>
          <w:i w:val="0"/>
          <w:iCs w:val="0"/>
          <w:caps w:val="0"/>
          <w:color w:val="3E3D40"/>
          <w:spacing w:val="0"/>
          <w:sz w:val="24"/>
          <w:szCs w:val="24"/>
          <w:shd w:val="clear" w:fill="FFFFFF"/>
          <w:lang w:val="en-IN"/>
        </w:rPr>
        <w:t xml:space="preserve">. </w:t>
      </w:r>
      <w:r>
        <w:rPr>
          <w:rFonts w:hint="default" w:eastAsia="Georgia" w:cs="Georgia" w:asciiTheme="minorAscii" w:hAnsiTheme="minorAscii"/>
          <w:b w:val="0"/>
          <w:bCs w:val="0"/>
          <w:i w:val="0"/>
          <w:iCs w:val="0"/>
          <w:caps w:val="0"/>
          <w:color w:val="3E3D40"/>
          <w:spacing w:val="0"/>
          <w:sz w:val="24"/>
          <w:szCs w:val="24"/>
          <w:shd w:val="clear" w:fill="FFFFFF"/>
          <w:lang w:val="en-IN"/>
        </w:rPr>
        <w:t>A</w:t>
      </w:r>
      <w:r>
        <w:rPr>
          <w:rFonts w:hint="default" w:eastAsia="Georgia" w:cs="Georgia" w:asciiTheme="minorAscii" w:hAnsiTheme="minorAscii"/>
          <w:b w:val="0"/>
          <w:bCs w:val="0"/>
          <w:i w:val="0"/>
          <w:iCs w:val="0"/>
          <w:caps w:val="0"/>
          <w:color w:val="3E3D40"/>
          <w:spacing w:val="0"/>
          <w:sz w:val="24"/>
          <w:szCs w:val="24"/>
          <w:shd w:val="clear" w:fill="FFFFFF"/>
        </w:rPr>
        <w:t>QP-5 protein</w:t>
      </w:r>
      <w:r>
        <w:rPr>
          <w:rFonts w:hint="default" w:eastAsia="Georgia" w:cs="Georgia" w:asciiTheme="minorAscii" w:hAnsiTheme="minorAscii"/>
          <w:i w:val="0"/>
          <w:iCs w:val="0"/>
          <w:caps w:val="0"/>
          <w:color w:val="3E3D40"/>
          <w:spacing w:val="0"/>
          <w:sz w:val="24"/>
          <w:szCs w:val="24"/>
          <w:shd w:val="clear" w:fill="FFFFFF"/>
        </w:rPr>
        <w:t>, present in the apical membranes of AT-I cell of alveolar epithelium, can regulate the transport of water molecules</w:t>
      </w:r>
      <w:r>
        <w:rPr>
          <w:rFonts w:hint="default" w:eastAsia="Georgia" w:cs="Georgia" w:asciiTheme="minorAscii" w:hAnsiTheme="minorAscii"/>
          <w:i w:val="0"/>
          <w:iCs w:val="0"/>
          <w:caps w:val="0"/>
          <w:color w:val="3E3D40"/>
          <w:spacing w:val="0"/>
          <w:sz w:val="24"/>
          <w:szCs w:val="24"/>
          <w:shd w:val="clear" w:fill="FFFFFF"/>
          <w:lang w:val="en-IN"/>
        </w:rPr>
        <w:t xml:space="preserve"> and</w:t>
      </w:r>
      <w:r>
        <w:rPr>
          <w:rFonts w:hint="default" w:eastAsia="Georgia" w:cs="Georgia" w:asciiTheme="minorAscii" w:hAnsiTheme="minorAscii"/>
          <w:i w:val="0"/>
          <w:iCs w:val="0"/>
          <w:caps w:val="0"/>
          <w:color w:val="3E3D40"/>
          <w:spacing w:val="0"/>
          <w:sz w:val="24"/>
          <w:szCs w:val="24"/>
          <w:shd w:val="clear" w:fill="FFFFFF"/>
        </w:rPr>
        <w:t xml:space="preserve"> promotes the clearance of surplus fluid in alveoli and keeps alveolar space dry. The expression of AQP-5 is </w:t>
      </w:r>
      <w:r>
        <w:rPr>
          <w:rFonts w:hint="default" w:eastAsia="Georgia" w:cs="Georgia" w:asciiTheme="minorAscii" w:hAnsiTheme="minorAscii"/>
          <w:i w:val="0"/>
          <w:iCs w:val="0"/>
          <w:caps w:val="0"/>
          <w:color w:val="3E3D40"/>
          <w:spacing w:val="0"/>
          <w:sz w:val="24"/>
          <w:szCs w:val="24"/>
          <w:shd w:val="clear" w:fill="FFFFFF"/>
          <w:lang w:val="en-IN"/>
        </w:rPr>
        <w:t>r</w:t>
      </w:r>
      <w:r>
        <w:rPr>
          <w:rFonts w:hint="default" w:eastAsia="Georgia" w:cs="Georgia" w:asciiTheme="minorAscii" w:hAnsiTheme="minorAscii"/>
          <w:i w:val="0"/>
          <w:iCs w:val="0"/>
          <w:caps w:val="0"/>
          <w:color w:val="3E3D40"/>
          <w:spacing w:val="0"/>
          <w:sz w:val="24"/>
          <w:szCs w:val="24"/>
          <w:shd w:val="clear" w:fill="FFFFFF"/>
        </w:rPr>
        <w:t>egulated by inflammatory cytokines, like TNF-α, elevated in the plasma of critical COVID-19 patients . AQP-5 expression significantly declined during pulmonary inflammation and edema, and TNF-α decreased AQP5 mRNA and protein expression levels via TNFR1 and NF-κB pathway.</w:t>
      </w:r>
      <w:r>
        <w:rPr>
          <w:rFonts w:hint="default" w:eastAsia="Georgia" w:cs="Georgia" w:asciiTheme="minorAscii" w:hAnsiTheme="minorAscii"/>
          <w:i w:val="0"/>
          <w:iCs w:val="0"/>
          <w:caps w:val="0"/>
          <w:color w:val="3E3D40"/>
          <w:spacing w:val="0"/>
          <w:sz w:val="24"/>
          <w:szCs w:val="24"/>
          <w:shd w:val="clear" w:fill="FFFFFF"/>
          <w:lang w:val="en-IN"/>
        </w:rPr>
        <w:t xml:space="preserve"> </w:t>
      </w:r>
      <w:r>
        <w:rPr>
          <w:rFonts w:hint="default" w:eastAsia="Georgia" w:cs="Georgia" w:asciiTheme="minorAscii" w:hAnsiTheme="minorAscii"/>
          <w:i w:val="0"/>
          <w:iCs w:val="0"/>
          <w:caps w:val="0"/>
          <w:color w:val="3E3D40"/>
          <w:spacing w:val="0"/>
          <w:sz w:val="24"/>
          <w:szCs w:val="24"/>
          <w:shd w:val="clear" w:fill="FFFFFF"/>
        </w:rPr>
        <w:t>During the infection of SARS-CoV-2, RAS, BK and hyaluronic acid (HA) are all involved in the regulation of AFC and the formation of pulmonary edema</w:t>
      </w:r>
      <w:r>
        <w:rPr>
          <w:rFonts w:hint="default" w:eastAsia="Georgia" w:cs="Georgia" w:asciiTheme="minorAscii" w:hAnsiTheme="minorAscii"/>
          <w:i w:val="0"/>
          <w:iCs w:val="0"/>
          <w:caps w:val="0"/>
          <w:color w:val="3E3D40"/>
          <w:spacing w:val="0"/>
          <w:sz w:val="24"/>
          <w:szCs w:val="24"/>
          <w:shd w:val="clear" w:fill="FFFFFF"/>
          <w:lang w:val="en-IN"/>
        </w:rPr>
        <w:t>.</w:t>
      </w:r>
      <w:r>
        <w:rPr>
          <w:rFonts w:hint="default" w:eastAsia="Georgia" w:cs="Georgia" w:asciiTheme="minorAscii" w:hAnsiTheme="minorAscii"/>
          <w:i w:val="0"/>
          <w:iCs w:val="0"/>
          <w:caps w:val="0"/>
          <w:color w:val="3E3D40"/>
          <w:spacing w:val="0"/>
          <w:sz w:val="24"/>
          <w:szCs w:val="24"/>
          <w:shd w:val="clear" w:fill="FFFFFF"/>
        </w:rPr>
        <w:t> </w:t>
      </w:r>
      <w:r>
        <w:rPr>
          <w:rFonts w:hint="default" w:eastAsia="Georgia" w:cs="Georgia" w:asciiTheme="minorAscii" w:hAnsiTheme="minorAscii"/>
          <w:b w:val="0"/>
          <w:bCs w:val="0"/>
          <w:i w:val="0"/>
          <w:iCs w:val="0"/>
          <w:caps w:val="0"/>
          <w:color w:val="3E3D40"/>
          <w:spacing w:val="0"/>
          <w:sz w:val="24"/>
          <w:szCs w:val="24"/>
          <w:shd w:val="clear" w:fill="FFFFFF"/>
        </w:rPr>
        <w:t>Bradykinin</w:t>
      </w:r>
      <w:r>
        <w:rPr>
          <w:rFonts w:hint="default" w:eastAsia="Georgia" w:cs="Georgia" w:asciiTheme="minorAscii" w:hAnsiTheme="minorAscii"/>
          <w:i w:val="0"/>
          <w:iCs w:val="0"/>
          <w:caps w:val="0"/>
          <w:color w:val="3E3D40"/>
          <w:spacing w:val="0"/>
          <w:sz w:val="24"/>
          <w:szCs w:val="24"/>
          <w:shd w:val="clear" w:fill="FFFFFF"/>
        </w:rPr>
        <w:t xml:space="preserve"> (BK) is an important cellular mediator that causes vasodilatation and leaky blood vessels, leading to vascular leakage and edema . BK is generated by cleavage of high-molecular-weight kininogen (HMWK) from plasma-kallikrein and binds to the BKB2 receptor, and thus results vascular hemorrhage.</w:t>
      </w:r>
      <w:r>
        <w:rPr>
          <w:rFonts w:hint="default" w:eastAsia="Georgia" w:cs="Georgia" w:asciiTheme="minorAscii" w:hAnsiTheme="minorAscii"/>
          <w:i w:val="0"/>
          <w:iCs w:val="0"/>
          <w:caps w:val="0"/>
          <w:color w:val="3E3D40"/>
          <w:spacing w:val="0"/>
          <w:sz w:val="24"/>
          <w:szCs w:val="24"/>
          <w:shd w:val="clear" w:fill="FFFFFF"/>
          <w:lang w:val="en-IN"/>
        </w:rPr>
        <w:t xml:space="preserve"> </w:t>
      </w:r>
      <w:r>
        <w:rPr>
          <w:rFonts w:hint="default" w:eastAsia="Georgia" w:cs="Georgia" w:asciiTheme="minorAscii" w:hAnsiTheme="minorAscii"/>
          <w:i w:val="0"/>
          <w:iCs w:val="0"/>
          <w:caps w:val="0"/>
          <w:color w:val="3E3D40"/>
          <w:spacing w:val="0"/>
          <w:sz w:val="24"/>
          <w:szCs w:val="24"/>
          <w:shd w:val="clear" w:fill="FFFFFF"/>
        </w:rPr>
        <w:t>Inhibition of ACE2 by SARS-CoV-2 impairs the hydrolysis of des-arg</w:t>
      </w:r>
      <w:r>
        <w:rPr>
          <w:rFonts w:hint="default" w:eastAsia="Georgia" w:cs="Georgia" w:asciiTheme="minorAscii" w:hAnsiTheme="minorAscii"/>
          <w:b w:val="0"/>
          <w:bCs w:val="0"/>
          <w:i w:val="0"/>
          <w:iCs w:val="0"/>
          <w:caps w:val="0"/>
          <w:color w:val="3E3D40"/>
          <w:spacing w:val="0"/>
          <w:sz w:val="24"/>
          <w:szCs w:val="24"/>
          <w:shd w:val="clear" w:fill="FFFFFF"/>
          <w:vertAlign w:val="baseline"/>
        </w:rPr>
        <w:t>9</w:t>
      </w:r>
      <w:r>
        <w:rPr>
          <w:rFonts w:hint="default" w:eastAsia="Georgia" w:cs="Georgia" w:asciiTheme="minorAscii" w:hAnsiTheme="minorAscii"/>
          <w:i w:val="0"/>
          <w:iCs w:val="0"/>
          <w:caps w:val="0"/>
          <w:color w:val="3E3D40"/>
          <w:spacing w:val="0"/>
          <w:sz w:val="24"/>
          <w:szCs w:val="24"/>
          <w:shd w:val="clear" w:fill="FFFFFF"/>
        </w:rPr>
        <w:t>-bradykinin. Therefore, the excessive release and decreased hydrolysis of BK through activating BKB1 and BKB2 receptors result in extra vascular leakage and pulmonary edema</w:t>
      </w:r>
      <w:r>
        <w:rPr>
          <w:rFonts w:hint="default" w:eastAsia="Georgia" w:cs="Georgia" w:asciiTheme="minorAscii" w:hAnsiTheme="minorAscii"/>
          <w:i w:val="0"/>
          <w:iCs w:val="0"/>
          <w:caps w:val="0"/>
          <w:color w:val="3E3D40"/>
          <w:spacing w:val="0"/>
          <w:sz w:val="24"/>
          <w:szCs w:val="24"/>
          <w:shd w:val="clear" w:fill="FFFFFF"/>
          <w:lang w:val="en-IN"/>
        </w:rPr>
        <w:t>, I</w:t>
      </w:r>
      <w:r>
        <w:rPr>
          <w:rFonts w:hint="default" w:eastAsia="Georgia" w:cs="Georgia" w:asciiTheme="minorAscii" w:hAnsiTheme="minorAscii"/>
          <w:b w:val="0"/>
          <w:bCs w:val="0"/>
          <w:i w:val="0"/>
          <w:iCs w:val="0"/>
          <w:caps w:val="0"/>
          <w:color w:val="3E3D40"/>
          <w:spacing w:val="0"/>
          <w:sz w:val="24"/>
          <w:szCs w:val="24"/>
          <w:shd w:val="clear" w:fill="FFFFFF"/>
        </w:rPr>
        <w:t>nflammatory cytokines and inflammatory storm in COVID-19</w:t>
      </w:r>
      <w:r>
        <w:rPr>
          <w:rFonts w:hint="default" w:eastAsia="Georgia" w:cs="Georgia" w:asciiTheme="minorAscii" w:hAnsiTheme="minorAscii"/>
          <w:b/>
          <w:bCs/>
          <w:i w:val="0"/>
          <w:iCs w:val="0"/>
          <w:caps w:val="0"/>
          <w:color w:val="3E3D40"/>
          <w:spacing w:val="0"/>
          <w:sz w:val="24"/>
          <w:szCs w:val="24"/>
          <w:shd w:val="clear" w:fill="FFFFFF"/>
        </w:rPr>
        <w:t xml:space="preserve"> </w:t>
      </w:r>
      <w:r>
        <w:rPr>
          <w:rFonts w:hint="default" w:eastAsia="Georgia" w:cs="Georgia" w:asciiTheme="minorAscii" w:hAnsiTheme="minorAscii"/>
          <w:i w:val="0"/>
          <w:iCs w:val="0"/>
          <w:caps w:val="0"/>
          <w:color w:val="3E3D40"/>
          <w:spacing w:val="0"/>
          <w:sz w:val="24"/>
          <w:szCs w:val="24"/>
          <w:shd w:val="clear" w:fill="FFFFFF"/>
        </w:rPr>
        <w:t>patients can strongly induce the expression of HA-synthase-2 (HAS2), while hyaluronidase level decreases, resulting in the accumulation of HA and inducing ARDS and pulmonary edema</w:t>
      </w:r>
      <w:r>
        <w:rPr>
          <w:rFonts w:hint="default" w:eastAsia="Georgia" w:cs="Georgia" w:asciiTheme="minorAscii" w:hAnsiTheme="minorAscii"/>
          <w:i w:val="0"/>
          <w:iCs w:val="0"/>
          <w:caps w:val="0"/>
          <w:color w:val="3E3D40"/>
          <w:spacing w:val="0"/>
          <w:sz w:val="24"/>
          <w:szCs w:val="24"/>
          <w:shd w:val="clear" w:fill="FFFFFF"/>
          <w:lang w:val="en-IN"/>
        </w:rPr>
        <w:t>. T</w:t>
      </w:r>
      <w:r>
        <w:rPr>
          <w:rFonts w:hint="default" w:eastAsia="Georgia" w:cs="Georgia" w:asciiTheme="minorAscii" w:hAnsiTheme="minorAscii"/>
          <w:i w:val="0"/>
          <w:iCs w:val="0"/>
          <w:caps w:val="0"/>
          <w:color w:val="3E3D40"/>
          <w:spacing w:val="0"/>
          <w:sz w:val="24"/>
          <w:szCs w:val="24"/>
          <w:shd w:val="clear" w:fill="FFFFFF"/>
        </w:rPr>
        <w:t>he</w:t>
      </w:r>
      <w:r>
        <w:rPr>
          <w:rFonts w:hint="default" w:eastAsia="Georgia" w:cs="Georgia" w:asciiTheme="minorAscii" w:hAnsiTheme="minorAscii"/>
          <w:b w:val="0"/>
          <w:bCs w:val="0"/>
          <w:i w:val="0"/>
          <w:iCs w:val="0"/>
          <w:caps w:val="0"/>
          <w:color w:val="3E3D40"/>
          <w:spacing w:val="0"/>
          <w:sz w:val="24"/>
          <w:szCs w:val="24"/>
          <w:shd w:val="clear" w:fill="FFFFFF"/>
        </w:rPr>
        <w:t xml:space="preserve"> decreased expression of alveolar Na-K-ATPase, misregulation of sodium, potassium, AQP, and RAS channels and abnormal metabolism of BK and HA can all lead to lung liquid clearance failure and pulmonary edema, resulting in severe lung damage and ARDS in COVID-19 patients</w:t>
      </w: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70" w:afterAutospacing="0"/>
        <w:ind w:right="0" w:firstLine="960" w:firstLineChars="400"/>
        <w:jc w:val="both"/>
        <w:textAlignment w:val="baseline"/>
        <w:rPr>
          <w:rFonts w:hint="default" w:asciiTheme="minorAscii" w:hAnsiTheme="minorAscii"/>
          <w:sz w:val="24"/>
          <w:szCs w:val="24"/>
          <w:shd w:val="clear" w:fill="FFFFFF"/>
          <w:lang w:val="en-IN"/>
        </w:rPr>
      </w:pPr>
      <w:r>
        <w:rPr>
          <w:rFonts w:hint="default" w:asciiTheme="minorAscii" w:hAnsiTheme="minorAscii"/>
          <w:sz w:val="24"/>
          <w:szCs w:val="24"/>
          <w:shd w:val="clear" w:fill="FFFFFF"/>
        </w:rPr>
        <w:t>Brain and lung crosstalk during COVID-19 infection</w:t>
      </w:r>
      <w:r>
        <w:rPr>
          <w:rFonts w:hint="default" w:asciiTheme="minorAscii" w:hAnsiTheme="minorAscii"/>
          <w:sz w:val="24"/>
          <w:szCs w:val="24"/>
          <w:shd w:val="clear" w:fill="FFFFFF"/>
          <w:lang w:val="en-IN"/>
        </w:rPr>
        <w:t xml:space="preserve"> </w:t>
      </w:r>
      <w:r>
        <w:rPr>
          <w:rFonts w:hint="default" w:asciiTheme="minorAscii" w:hAnsiTheme="minorAscii"/>
          <w:sz w:val="24"/>
          <w:szCs w:val="24"/>
          <w:shd w:val="clear" w:fill="FFFFFF"/>
        </w:rPr>
        <w:t>concerning the neuroprotective property of ACE2, its downregulation may disturb the balance of neurotoxicity/neuroprotection inside the brain. Increase of inflammatory cytokines during lung injury, hypoxemia, and elevation of sympathetic tone through ACE2 downregulation leads to CNS hyperactivation which might play a crucial role in the etiopathogenesis of neurogenic pulmonary edema</w:t>
      </w:r>
      <w:r>
        <w:rPr>
          <w:rFonts w:hint="default" w:asciiTheme="minorAscii" w:hAnsiTheme="minorAscii"/>
          <w:sz w:val="24"/>
          <w:szCs w:val="24"/>
          <w:shd w:val="clear" w:fill="FFFFFF"/>
          <w:lang w:val="en-IN"/>
        </w:rPr>
        <w:t>.</w:t>
      </w: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70" w:afterAutospacing="0"/>
        <w:ind w:right="0"/>
        <w:jc w:val="both"/>
        <w:textAlignment w:val="baseline"/>
        <w:rPr>
          <w:rFonts w:hint="default" w:eastAsia="Segoe UI" w:cs="Segoe UI" w:asciiTheme="minorAscii" w:hAnsiTheme="minorAscii"/>
          <w:i w:val="0"/>
          <w:iCs w:val="0"/>
          <w:caps w:val="0"/>
          <w:color w:val="212121"/>
          <w:spacing w:val="0"/>
          <w:sz w:val="24"/>
          <w:szCs w:val="24"/>
          <w:shd w:val="clear" w:fill="FFFFFF"/>
          <w:lang w:val="en-IN"/>
        </w:rPr>
      </w:pPr>
      <w:r>
        <w:rPr>
          <w:rFonts w:hint="default" w:asciiTheme="minorAscii" w:hAnsiTheme="minorAscii"/>
          <w:sz w:val="24"/>
          <w:szCs w:val="24"/>
          <w:shd w:val="clear" w:fill="FFFFFF"/>
          <w:lang w:val="en-IN"/>
        </w:rPr>
        <w:t xml:space="preserve"> A</w:t>
      </w:r>
      <w:r>
        <w:rPr>
          <w:rFonts w:hint="default" w:eastAsia="Segoe UI" w:cs="Segoe UI" w:asciiTheme="minorAscii" w:hAnsiTheme="minorAscii"/>
          <w:i w:val="0"/>
          <w:iCs w:val="0"/>
          <w:caps w:val="0"/>
          <w:color w:val="212121"/>
          <w:spacing w:val="0"/>
          <w:sz w:val="24"/>
          <w:szCs w:val="24"/>
          <w:shd w:val="clear" w:fill="FFFFFF"/>
        </w:rPr>
        <w:t>n unusual pattern of marked CSF inflammation in which soluble markers were increased but white cell response and other immunologic features typical of CNS viral infections were absent</w:t>
      </w:r>
      <w:r>
        <w:rPr>
          <w:rFonts w:hint="default" w:eastAsia="Segoe UI" w:cs="Segoe UI" w:asciiTheme="minorAscii" w:hAnsiTheme="minorAscii"/>
          <w:i w:val="0"/>
          <w:iCs w:val="0"/>
          <w:caps w:val="0"/>
          <w:color w:val="212121"/>
          <w:spacing w:val="0"/>
          <w:sz w:val="24"/>
          <w:szCs w:val="24"/>
          <w:shd w:val="clear" w:fill="FFFFFF"/>
          <w:lang w:val="en-IN"/>
        </w:rPr>
        <w:t>. F</w:t>
      </w:r>
      <w:r>
        <w:rPr>
          <w:rFonts w:hint="default" w:eastAsia="Segoe UI" w:cs="Segoe UI" w:asciiTheme="minorAscii" w:hAnsiTheme="minorAscii"/>
          <w:i w:val="0"/>
          <w:iCs w:val="0"/>
          <w:caps w:val="0"/>
          <w:color w:val="212121"/>
          <w:spacing w:val="0"/>
          <w:sz w:val="24"/>
          <w:szCs w:val="24"/>
          <w:shd w:val="clear" w:fill="FFFFFF"/>
        </w:rPr>
        <w:t>eatures distinguish COVID-19 CSF from other viral CNS infections and raise fundamental questions about the CNS pathobiology of SARS-CoV-2 infection. CSF biomarkers of intrathecal inflammation (CSF white blood cell count, neopterin, β</w:t>
      </w:r>
      <w:r>
        <w:rPr>
          <w:rFonts w:hint="default" w:eastAsia="Segoe UI" w:cs="Segoe UI" w:asciiTheme="minorAscii" w:hAnsiTheme="minorAscii"/>
          <w:i w:val="0"/>
          <w:iCs w:val="0"/>
          <w:caps w:val="0"/>
          <w:color w:val="212121"/>
          <w:spacing w:val="0"/>
          <w:sz w:val="24"/>
          <w:szCs w:val="24"/>
          <w:shd w:val="clear" w:fill="FFFFFF"/>
          <w:vertAlign w:val="baseline"/>
        </w:rPr>
        <w:t>2</w:t>
      </w:r>
      <w:r>
        <w:rPr>
          <w:rFonts w:hint="default" w:eastAsia="Segoe UI" w:cs="Segoe UI" w:asciiTheme="minorAscii" w:hAnsiTheme="minorAscii"/>
          <w:i w:val="0"/>
          <w:iCs w:val="0"/>
          <w:caps w:val="0"/>
          <w:color w:val="212121"/>
          <w:spacing w:val="0"/>
          <w:sz w:val="24"/>
          <w:szCs w:val="24"/>
          <w:shd w:val="clear" w:fill="FFFFFF"/>
        </w:rPr>
        <w:t>-microglobulin, and immunoglobulin G index), blood-brain barrier integrity (albumin ratio), and axonal injury (CSF neurofilament light chain protein [NfL])</w:t>
      </w:r>
      <w:r>
        <w:rPr>
          <w:rFonts w:hint="default" w:eastAsia="Segoe UI" w:cs="Segoe UI" w:asciiTheme="minorAscii" w:hAnsiTheme="minorAscii"/>
          <w:i w:val="0"/>
          <w:iCs w:val="0"/>
          <w:caps w:val="0"/>
          <w:color w:val="212121"/>
          <w:spacing w:val="0"/>
          <w:sz w:val="24"/>
          <w:szCs w:val="24"/>
          <w:shd w:val="clear" w:fill="FFFFFF"/>
          <w:lang w:val="en-IN"/>
        </w:rPr>
        <w:t xml:space="preserve"> were studied</w:t>
      </w:r>
      <w:r>
        <w:rPr>
          <w:rFonts w:hint="default" w:eastAsia="Segoe UI" w:cs="Segoe UI" w:asciiTheme="minorAscii" w:hAnsiTheme="minorAscii"/>
          <w:i w:val="0"/>
          <w:iCs w:val="0"/>
          <w:caps w:val="0"/>
          <w:color w:val="212121"/>
          <w:spacing w:val="0"/>
          <w:sz w:val="24"/>
          <w:szCs w:val="24"/>
          <w:shd w:val="clear" w:fill="FFFFFF"/>
        </w:rPr>
        <w:t xml:space="preserve"> in patients with moderate to severe coronavirus disease 2019 (COVID-19) and neurologic symptoms</w:t>
      </w:r>
      <w:r>
        <w:rPr>
          <w:rFonts w:hint="default" w:eastAsia="Segoe UI" w:cs="Segoe UI" w:asciiTheme="minorAscii" w:hAnsiTheme="minorAscii"/>
          <w:i w:val="0"/>
          <w:iCs w:val="0"/>
          <w:caps w:val="0"/>
          <w:color w:val="212121"/>
          <w:spacing w:val="0"/>
          <w:sz w:val="24"/>
          <w:szCs w:val="24"/>
          <w:shd w:val="clear" w:fill="FFFFFF"/>
          <w:lang w:val="en-IN"/>
        </w:rPr>
        <w:t xml:space="preserve">. </w:t>
      </w:r>
      <w:r>
        <w:rPr>
          <w:rFonts w:hint="default" w:eastAsia="Segoe UI" w:cs="Segoe UI" w:asciiTheme="minorAscii" w:hAnsiTheme="minorAscii"/>
          <w:i w:val="0"/>
          <w:iCs w:val="0"/>
          <w:caps w:val="0"/>
          <w:color w:val="212121"/>
          <w:spacing w:val="0"/>
          <w:sz w:val="24"/>
          <w:szCs w:val="24"/>
          <w:shd w:val="clear" w:fill="FFFFFF"/>
        </w:rPr>
        <w:t>CSF neopterin (median 43.0 nmol/L) and β</w:t>
      </w:r>
      <w:r>
        <w:rPr>
          <w:rFonts w:hint="default" w:eastAsia="Segoe UI" w:cs="Segoe UI" w:asciiTheme="minorAscii" w:hAnsiTheme="minorAscii"/>
          <w:i w:val="0"/>
          <w:iCs w:val="0"/>
          <w:caps w:val="0"/>
          <w:color w:val="212121"/>
          <w:spacing w:val="0"/>
          <w:sz w:val="24"/>
          <w:szCs w:val="24"/>
          <w:shd w:val="clear" w:fill="FFFFFF"/>
          <w:vertAlign w:val="baseline"/>
        </w:rPr>
        <w:t>2</w:t>
      </w:r>
      <w:r>
        <w:rPr>
          <w:rFonts w:hint="default" w:eastAsia="Segoe UI" w:cs="Segoe UI" w:asciiTheme="minorAscii" w:hAnsiTheme="minorAscii"/>
          <w:i w:val="0"/>
          <w:iCs w:val="0"/>
          <w:caps w:val="0"/>
          <w:color w:val="212121"/>
          <w:spacing w:val="0"/>
          <w:sz w:val="24"/>
          <w:szCs w:val="24"/>
          <w:shd w:val="clear" w:fill="FFFFFF"/>
        </w:rPr>
        <w:t>-microglobulin (median 3.1 mg/L) were increased in all. Median immunoglobulin G index (0.39), albumin ratio (5.35), and CSF white blood cell count (&lt;3 cells/µL) were normal in all, while CSF NfL was elevated.</w:t>
      </w:r>
      <w:r>
        <w:rPr>
          <w:rFonts w:hint="default" w:eastAsia="Segoe UI" w:cs="Segoe UI" w:asciiTheme="minorAscii" w:hAnsiTheme="minorAscii"/>
          <w:i w:val="0"/>
          <w:iCs w:val="0"/>
          <w:caps w:val="0"/>
          <w:color w:val="212121"/>
          <w:spacing w:val="0"/>
          <w:sz w:val="24"/>
          <w:szCs w:val="24"/>
          <w:shd w:val="clear" w:fill="FFFFFF"/>
          <w:lang w:val="en-IN"/>
        </w:rPr>
        <w:t xml:space="preserve"> </w:t>
      </w:r>
      <w:r>
        <w:rPr>
          <w:rFonts w:hint="default" w:eastAsia="Segoe UI" w:cs="Segoe UI" w:asciiTheme="minorAscii" w:hAnsiTheme="minorAscii"/>
          <w:i w:val="0"/>
          <w:iCs w:val="0"/>
          <w:caps w:val="0"/>
          <w:color w:val="212121"/>
          <w:spacing w:val="0"/>
          <w:sz w:val="24"/>
          <w:szCs w:val="24"/>
          <w:shd w:val="clear" w:fill="FFFFFF"/>
        </w:rPr>
        <w:t>The ratio of albumin in cerebrospinal fluid (CSF) to serum may serve as an index of the integrity of the blood-CSF barrier, with increases in this ratio indicating increased permeability. The ratio of immunoglobulin G (IgG) in CSF to serum (divided by the albumin ratio to correct for variance in blood-CSF permeability) represents an index of the endogenous production of IgG in the central nervous system (CNS), with increases reflecting a possible infectious and/or autoimmune process stimulating central IgG synthesis</w:t>
      </w:r>
      <w:r>
        <w:rPr>
          <w:rFonts w:hint="default" w:eastAsia="Segoe UI" w:cs="Segoe UI" w:asciiTheme="minorAscii" w:hAnsiTheme="minorAscii"/>
          <w:i w:val="0"/>
          <w:iCs w:val="0"/>
          <w:caps w:val="0"/>
          <w:color w:val="212121"/>
          <w:spacing w:val="0"/>
          <w:sz w:val="24"/>
          <w:szCs w:val="24"/>
          <w:shd w:val="clear" w:fill="FFFFFF"/>
          <w:lang w:val="en-IN"/>
        </w:rPr>
        <w:t>.</w:t>
      </w: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70" w:afterAutospacing="0"/>
        <w:ind w:right="0" w:firstLine="720" w:firstLineChars="300"/>
        <w:jc w:val="both"/>
        <w:textAlignment w:val="baseline"/>
        <w:rPr>
          <w:rFonts w:hint="default" w:eastAsia="SimSun" w:cs="SimSun" w:asciiTheme="minorAscii" w:hAnsiTheme="minorAscii"/>
          <w:sz w:val="24"/>
          <w:szCs w:val="24"/>
        </w:rPr>
      </w:pPr>
      <w:r>
        <w:rPr>
          <w:rFonts w:hint="default" w:cs="SimSun" w:asciiTheme="minorAscii" w:hAnsiTheme="minorAscii"/>
          <w:sz w:val="24"/>
          <w:szCs w:val="24"/>
          <w:lang w:val="en-IN"/>
        </w:rPr>
        <w:t>M</w:t>
      </w:r>
      <w:r>
        <w:rPr>
          <w:rFonts w:hint="default" w:eastAsia="SimSun" w:cs="SimSun" w:asciiTheme="minorAscii" w:hAnsiTheme="minorAscii"/>
          <w:sz w:val="24"/>
          <w:szCs w:val="24"/>
        </w:rPr>
        <w:t>olecular docking technology was used to analyze the binding part of viral proteins to the porphyrin. The study results show that some viral proteins could combine to the porphyrin to form a complex</w:t>
      </w:r>
      <w:r>
        <w:rPr>
          <w:rFonts w:hint="default" w:cs="SimSun" w:asciiTheme="minorAscii" w:hAnsiTheme="minorAscii"/>
          <w:sz w:val="24"/>
          <w:szCs w:val="24"/>
          <w:lang w:val="en-IN"/>
        </w:rPr>
        <w:t xml:space="preserve"> and a</w:t>
      </w:r>
      <w:r>
        <w:rPr>
          <w:rFonts w:hint="default" w:eastAsia="SimSun" w:cs="SimSun" w:asciiTheme="minorAscii" w:hAnsiTheme="minorAscii"/>
          <w:sz w:val="24"/>
          <w:szCs w:val="24"/>
        </w:rPr>
        <w:t>t the same time, orf1ab, ORF3a, and</w:t>
      </w:r>
      <w:r>
        <w:rPr>
          <w:rFonts w:hint="default" w:cs="SimSun" w:asciiTheme="minorAscii" w:hAnsiTheme="minorAscii"/>
          <w:sz w:val="24"/>
          <w:szCs w:val="24"/>
          <w:lang w:val="en-IN"/>
        </w:rPr>
        <w:t xml:space="preserve"> </w:t>
      </w:r>
      <w:r>
        <w:rPr>
          <w:rFonts w:hint="default" w:eastAsia="SimSun" w:cs="SimSun" w:asciiTheme="minorAscii" w:hAnsiTheme="minorAscii"/>
          <w:sz w:val="24"/>
          <w:szCs w:val="24"/>
        </w:rPr>
        <w:t>ORF10 proteins could coordinate attack the heme on hemoglobin.</w:t>
      </w:r>
      <w:r>
        <w:rPr>
          <w:rFonts w:hint="default" w:cs="SimSun" w:asciiTheme="minorAscii" w:hAnsiTheme="minorAscii"/>
          <w:sz w:val="24"/>
          <w:szCs w:val="24"/>
          <w:lang w:val="en-IN"/>
        </w:rPr>
        <w:t xml:space="preserve"> </w:t>
      </w:r>
      <w:r>
        <w:rPr>
          <w:rFonts w:hint="default" w:eastAsia="SimSun" w:cs="SimSun" w:asciiTheme="minorAscii" w:hAnsiTheme="minorAscii"/>
          <w:sz w:val="24"/>
          <w:szCs w:val="24"/>
        </w:rPr>
        <w:t>Deoxyhemoglobin is more vulnerable to virus attacks than oxidized hemoglobin.The attack will lead to less hemoglobin to carry oxygen and carbon dioxide. Patients with respiratory distress will be made worse. Lung cells are toxic and inflammatory due to derivatives produced by the attack, which eventually resulted in ground-glass-like lung image</w:t>
      </w:r>
      <w:r>
        <w:rPr>
          <w:rFonts w:hint="default" w:cs="SimSun" w:asciiTheme="minorAscii" w:hAnsiTheme="minorAscii"/>
          <w:sz w:val="24"/>
          <w:szCs w:val="24"/>
          <w:lang w:val="en-IN"/>
        </w:rPr>
        <w:t xml:space="preserve">. </w:t>
      </w:r>
      <w:r>
        <w:rPr>
          <w:rFonts w:hint="default" w:eastAsia="SimSun" w:cs="SimSun" w:asciiTheme="minorAscii" w:hAnsiTheme="minorAscii"/>
          <w:sz w:val="24"/>
          <w:szCs w:val="24"/>
        </w:rPr>
        <w:t>Capillaries easily were broken due to inflammation. Proteins such as fibrinogen fill the capillaries' cracks through the coagulation reaction. Therefore, many fibrin accumulates in the alveolar tissue of the patient. As the porphyrin complexes of the virus produced in the human body, the mechanism also interfered with the normal heme anabolic pathway of the human body, they made a wide range of infection and disease</w:t>
      </w:r>
      <w:r>
        <w:rPr>
          <w:rFonts w:hint="default" w:cs="SimSun" w:asciiTheme="minorAscii" w:hAnsiTheme="minorAscii"/>
          <w:sz w:val="24"/>
          <w:szCs w:val="24"/>
          <w:lang w:val="en-IN"/>
        </w:rPr>
        <w:t xml:space="preserve">. </w:t>
      </w:r>
      <w:r>
        <w:rPr>
          <w:rFonts w:hint="default" w:eastAsia="SimSun" w:cs="SimSun" w:asciiTheme="minorAscii" w:hAnsiTheme="minorAscii"/>
          <w:sz w:val="24"/>
          <w:szCs w:val="24"/>
        </w:rPr>
        <w:t xml:space="preserve">The virus may first infect cells with ACE2 receptors, including immune cells. Immune cells produced antibodies and viral proteins. Antibodies and red blood cells generated immune hemolysis, or red blood cells were infected by Spike-CD147 pathway. Hemoglobin was attached and then attacked. The toxic and inflammatory </w:t>
      </w:r>
      <w:r>
        <w:rPr>
          <w:rFonts w:hint="default" w:cs="SimSun" w:asciiTheme="minorAscii" w:hAnsiTheme="minorAscii"/>
          <w:sz w:val="24"/>
          <w:szCs w:val="24"/>
          <w:lang w:val="en-IN"/>
        </w:rPr>
        <w:t xml:space="preserve">mediators are </w:t>
      </w:r>
      <w:r>
        <w:rPr>
          <w:rFonts w:hint="default" w:eastAsia="SimSun" w:cs="SimSun" w:asciiTheme="minorAscii" w:hAnsiTheme="minorAscii"/>
          <w:sz w:val="24"/>
          <w:szCs w:val="24"/>
        </w:rPr>
        <w:t>due to derivatives produced by the attack. The virus also captured porphyrin and inhibited heme metabolism</w:t>
      </w:r>
      <w:r>
        <w:rPr>
          <w:rFonts w:hint="default" w:cs="SimSun" w:asciiTheme="minorAscii" w:hAnsiTheme="minorAscii"/>
          <w:sz w:val="24"/>
          <w:szCs w:val="24"/>
          <w:lang w:val="en-IN"/>
        </w:rPr>
        <w:t xml:space="preserve"> and</w:t>
      </w:r>
      <w:r>
        <w:rPr>
          <w:rFonts w:hint="default" w:eastAsia="SimSun" w:cs="SimSun" w:asciiTheme="minorAscii" w:hAnsiTheme="minorAscii"/>
          <w:sz w:val="24"/>
          <w:szCs w:val="24"/>
        </w:rPr>
        <w:t xml:space="preserve"> </w:t>
      </w:r>
      <w:r>
        <w:rPr>
          <w:rFonts w:hint="default" w:cs="SimSun" w:asciiTheme="minorAscii" w:hAnsiTheme="minorAscii"/>
          <w:sz w:val="24"/>
          <w:szCs w:val="24"/>
          <w:lang w:val="en-IN"/>
        </w:rPr>
        <w:t>c</w:t>
      </w:r>
      <w:r>
        <w:rPr>
          <w:rFonts w:hint="default" w:eastAsia="SimSun" w:cs="SimSun" w:asciiTheme="minorAscii" w:hAnsiTheme="minorAscii"/>
          <w:sz w:val="24"/>
          <w:szCs w:val="24"/>
        </w:rPr>
        <w:t>ytokine storm causes multiple organs failure.</w:t>
      </w:r>
    </w:p>
    <w:p>
      <w:pPr>
        <w:ind w:firstLine="720" w:firstLineChars="300"/>
        <w:jc w:val="both"/>
        <w:rPr>
          <w:rFonts w:hint="default" w:eastAsia="Helvetica" w:cs="Helvetica" w:asciiTheme="minorAscii" w:hAnsiTheme="minorAscii"/>
          <w:i w:val="0"/>
          <w:iCs w:val="0"/>
          <w:caps w:val="0"/>
          <w:color w:val="333333"/>
          <w:spacing w:val="0"/>
          <w:sz w:val="24"/>
          <w:szCs w:val="24"/>
          <w:lang w:val="en-IN"/>
        </w:rPr>
      </w:pPr>
      <w:r>
        <w:rPr>
          <w:rFonts w:hint="default" w:eastAsia="serif" w:cs="serif" w:asciiTheme="minorAscii" w:hAnsiTheme="minorAscii"/>
          <w:i w:val="0"/>
          <w:iCs w:val="0"/>
          <w:caps w:val="0"/>
          <w:color w:val="333333"/>
          <w:spacing w:val="0"/>
          <w:sz w:val="24"/>
          <w:szCs w:val="24"/>
          <w:shd w:val="clear" w:fill="FFFFFF"/>
          <w:lang w:val="en-IN"/>
        </w:rPr>
        <w:t>Two</w:t>
      </w:r>
      <w:r>
        <w:rPr>
          <w:rFonts w:hint="default" w:eastAsia="serif" w:cs="serif" w:asciiTheme="minorAscii" w:hAnsiTheme="minorAscii"/>
          <w:i w:val="0"/>
          <w:iCs w:val="0"/>
          <w:caps w:val="0"/>
          <w:color w:val="333333"/>
          <w:spacing w:val="0"/>
          <w:sz w:val="24"/>
          <w:szCs w:val="24"/>
          <w:shd w:val="clear" w:fill="FFFFFF"/>
        </w:rPr>
        <w:t xml:space="preserve"> plasma biomarkers of CNS injury by single molecule array, neurofilament light chain protein (NfL; a marker of intra-axonal neuronal injury) and glial fibrillary acidic protein (GFAp; a marker of astrocytic activation/injury),</w:t>
      </w:r>
      <w:r>
        <w:rPr>
          <w:rFonts w:hint="default" w:eastAsia="serif" w:cs="serif" w:asciiTheme="minorAscii" w:hAnsiTheme="minorAscii"/>
          <w:i w:val="0"/>
          <w:iCs w:val="0"/>
          <w:caps w:val="0"/>
          <w:color w:val="333333"/>
          <w:spacing w:val="0"/>
          <w:sz w:val="24"/>
          <w:szCs w:val="24"/>
          <w:shd w:val="clear" w:fill="FFFFFF"/>
          <w:lang w:val="en-IN"/>
        </w:rPr>
        <w:t xml:space="preserve"> detect the </w:t>
      </w:r>
      <w:r>
        <w:rPr>
          <w:rFonts w:hint="default" w:eastAsia="serif" w:cs="serif" w:asciiTheme="minorAscii" w:hAnsiTheme="minorAscii"/>
          <w:i w:val="0"/>
          <w:iCs w:val="0"/>
          <w:caps w:val="0"/>
          <w:color w:val="333333"/>
          <w:spacing w:val="0"/>
          <w:sz w:val="24"/>
          <w:szCs w:val="24"/>
          <w:shd w:val="clear" w:fill="FFFFFF"/>
        </w:rPr>
        <w:t>nature of COVID-19–related CNS damage and its relation to both clinically defined CNS events such as hypoxic and ischemic events and mechanisms more closely linked to systemic severe acute respiratory syndrome coronavirus 2 infection and consequent immune activation</w:t>
      </w:r>
      <w:r>
        <w:rPr>
          <w:rFonts w:hint="default" w:eastAsia="serif" w:cs="serif" w:asciiTheme="minorAscii" w:hAnsiTheme="minorAscii"/>
          <w:i w:val="0"/>
          <w:iCs w:val="0"/>
          <w:caps w:val="0"/>
          <w:color w:val="333333"/>
          <w:spacing w:val="0"/>
          <w:sz w:val="24"/>
          <w:szCs w:val="24"/>
          <w:shd w:val="clear" w:fill="FFFFFF"/>
          <w:lang w:val="en-IN"/>
        </w:rPr>
        <w:t>. T</w:t>
      </w:r>
      <w:r>
        <w:rPr>
          <w:rFonts w:hint="default" w:eastAsia="serif" w:cs="serif" w:asciiTheme="minorAscii" w:hAnsiTheme="minorAscii"/>
          <w:i w:val="0"/>
          <w:iCs w:val="0"/>
          <w:caps w:val="0"/>
          <w:color w:val="333333"/>
          <w:spacing w:val="0"/>
          <w:sz w:val="24"/>
          <w:szCs w:val="24"/>
          <w:shd w:val="clear" w:fill="FFFFFF"/>
        </w:rPr>
        <w:t>he clinical utility of monitoring plasma NfL and GFAp</w:t>
      </w:r>
      <w:r>
        <w:rPr>
          <w:rFonts w:hint="default" w:eastAsia="serif" w:cs="serif" w:asciiTheme="minorAscii" w:hAnsiTheme="minorAscii"/>
          <w:i w:val="0"/>
          <w:iCs w:val="0"/>
          <w:caps w:val="0"/>
          <w:color w:val="333333"/>
          <w:spacing w:val="0"/>
          <w:sz w:val="24"/>
          <w:szCs w:val="24"/>
          <w:shd w:val="clear" w:fill="FFFFFF"/>
          <w:lang w:val="en-IN"/>
        </w:rPr>
        <w:t xml:space="preserve"> to predict the </w:t>
      </w:r>
      <w:r>
        <w:rPr>
          <w:rFonts w:hint="default" w:eastAsia="serif" w:cs="Mongolian Baiti" w:asciiTheme="minorAscii" w:hAnsiTheme="minorAscii"/>
          <w:i w:val="0"/>
          <w:iCs w:val="0"/>
          <w:caps w:val="0"/>
          <w:color w:val="333333"/>
          <w:spacing w:val="0"/>
          <w:sz w:val="24"/>
          <w:szCs w:val="24"/>
          <w:shd w:val="clear" w:fill="FFFFFF"/>
        </w:rPr>
        <w:t>neurochemical evidence of neuronal injury and glial activation in patients with moderate and severe COVID-19</w:t>
      </w:r>
      <w:r>
        <w:rPr>
          <w:rFonts w:hint="default" w:eastAsia="serif" w:cs="serif" w:asciiTheme="minorAscii" w:hAnsiTheme="minorAscii"/>
          <w:i w:val="0"/>
          <w:iCs w:val="0"/>
          <w:caps w:val="0"/>
          <w:color w:val="333333"/>
          <w:spacing w:val="0"/>
          <w:sz w:val="24"/>
          <w:szCs w:val="24"/>
          <w:shd w:val="clear" w:fill="FFFFFF"/>
          <w:lang w:val="en-IN"/>
        </w:rPr>
        <w:t>. S</w:t>
      </w:r>
      <w:r>
        <w:rPr>
          <w:rFonts w:hint="default" w:eastAsia="serif" w:cs="serif" w:asciiTheme="minorAscii" w:hAnsiTheme="minorAscii"/>
          <w:i w:val="0"/>
          <w:iCs w:val="0"/>
          <w:caps w:val="0"/>
          <w:color w:val="333333"/>
          <w:spacing w:val="0"/>
          <w:sz w:val="24"/>
          <w:szCs w:val="24"/>
          <w:shd w:val="clear" w:fill="FFFFFF"/>
        </w:rPr>
        <w:t>evere COVID-19 had higher plasma concentrations of GFAp and NfL, while GFAp was also increased in patients with moderate disease</w:t>
      </w:r>
      <w:r>
        <w:rPr>
          <w:rFonts w:hint="default" w:eastAsia="serif" w:cs="serif" w:asciiTheme="minorAscii" w:hAnsiTheme="minorAscii"/>
          <w:i w:val="0"/>
          <w:iCs w:val="0"/>
          <w:caps w:val="0"/>
          <w:color w:val="333333"/>
          <w:spacing w:val="0"/>
          <w:sz w:val="24"/>
          <w:szCs w:val="24"/>
          <w:shd w:val="clear" w:fill="FFFFFF"/>
          <w:lang w:val="en-IN"/>
        </w:rPr>
        <w:t xml:space="preserve">. </w:t>
      </w:r>
      <w:r>
        <w:rPr>
          <w:rFonts w:hint="default" w:eastAsia="serif" w:cs="serif" w:asciiTheme="minorAscii" w:hAnsiTheme="minorAscii"/>
          <w:i w:val="0"/>
          <w:iCs w:val="0"/>
          <w:caps w:val="0"/>
          <w:color w:val="333333"/>
          <w:spacing w:val="0"/>
          <w:sz w:val="24"/>
          <w:szCs w:val="24"/>
          <w:shd w:val="clear" w:fill="FFFFFF"/>
        </w:rPr>
        <w:t>In patients with severe disease, an early peak in plasma GFAp decreased on follow-up, while NfL showed a sustained increase from first to last follow-up, perhaps reflecting a sequence of early astrocytic response and more delayed axonal i</w:t>
      </w:r>
      <w:r>
        <w:rPr>
          <w:rFonts w:hint="default" w:eastAsia="serif" w:cs="serif" w:asciiTheme="minorAscii" w:hAnsiTheme="minorAscii"/>
          <w:i w:val="0"/>
          <w:iCs w:val="0"/>
          <w:caps w:val="0"/>
          <w:color w:val="333333"/>
          <w:spacing w:val="0"/>
          <w:sz w:val="24"/>
          <w:szCs w:val="24"/>
          <w:shd w:val="clear" w:fill="FFFFFF"/>
          <w:lang w:val="en-IN"/>
        </w:rPr>
        <w:t>njury.</w:t>
      </w: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70" w:afterAutospacing="0"/>
        <w:ind w:right="0" w:firstLine="840" w:firstLineChars="350"/>
        <w:jc w:val="both"/>
        <w:textAlignment w:val="baseline"/>
        <w:rPr>
          <w:rFonts w:hint="default" w:eastAsia="SimSun" w:cs="Times New Roman" w:asciiTheme="minorAscii" w:hAnsiTheme="minorAscii"/>
          <w:i w:val="0"/>
          <w:iCs w:val="0"/>
          <w:caps w:val="0"/>
          <w:color w:val="000000"/>
          <w:spacing w:val="0"/>
          <w:sz w:val="24"/>
          <w:szCs w:val="24"/>
          <w:shd w:val="clear" w:fill="FFFFFF"/>
        </w:rPr>
      </w:pPr>
      <w:r>
        <w:rPr>
          <w:rFonts w:hint="default" w:eastAsia="SimSun" w:cs="Times New Roman" w:asciiTheme="minorAscii" w:hAnsiTheme="minorAscii"/>
          <w:i w:val="0"/>
          <w:iCs w:val="0"/>
          <w:caps w:val="0"/>
          <w:color w:val="000000"/>
          <w:spacing w:val="0"/>
          <w:sz w:val="24"/>
          <w:szCs w:val="24"/>
          <w:shd w:val="clear" w:fill="FFFFFF"/>
        </w:rPr>
        <w:t>Sympathetic hyperactivation is an important component of the autonomic dysregulation in the setting of infections and related hyper-inflammatory release syndromes. Sympathetic hyperactivation might be of particular significance for injury to the cardiovascular system.Infections and danger-associated molecular patterns (DAMPs) can activate immune cells to produce inflammatory cytokines. In turn, these inflammatory cytokines can activate the afferent sensory vagus nerve that transmits the information to the central nervous system where it is processed. If needed, the central nervous system can activate the efferent vagus nerve to control inflammation by inhibiting the production of inflammatory cytokines in macrophages</w:t>
      </w:r>
      <w:r>
        <w:rPr>
          <w:rFonts w:hint="default" w:cs="Times New Roman" w:asciiTheme="minorAscii" w:hAnsiTheme="minorAscii"/>
          <w:i w:val="0"/>
          <w:iCs w:val="0"/>
          <w:caps w:val="0"/>
          <w:color w:val="000000"/>
          <w:spacing w:val="0"/>
          <w:sz w:val="24"/>
          <w:szCs w:val="24"/>
          <w:shd w:val="clear" w:fill="FFFFFF"/>
          <w:lang w:val="en-IN"/>
        </w:rPr>
        <w:t xml:space="preserve">. </w:t>
      </w:r>
      <w:r>
        <w:rPr>
          <w:rFonts w:hint="default" w:eastAsia="SimSun" w:cs="Times New Roman" w:asciiTheme="minorAscii" w:hAnsiTheme="minorAscii"/>
          <w:i w:val="0"/>
          <w:iCs w:val="0"/>
          <w:caps w:val="0"/>
          <w:color w:val="000000"/>
          <w:spacing w:val="0"/>
          <w:sz w:val="24"/>
          <w:szCs w:val="24"/>
          <w:shd w:val="clear" w:fill="FFFFFF"/>
        </w:rPr>
        <w:t>Acetylcholine (ACh), the principal neurotransmitter of the vagus nerve, is well studied as a critical neurotransmitter but ACh also modulates immune cells. Acetylcholine is well conserved across evolution and is used by the nervous system to regulate organ function and physiological homeostasis including the immune system and inflammation. ACh inhibits the production of inflammatory cytokines in macrophages specifically via α7 nicotinic ACh receptors (α7nAChR).</w:t>
      </w:r>
      <w:r>
        <w:rPr>
          <w:rFonts w:hint="default" w:cs="Times New Roman" w:asciiTheme="minorAscii" w:hAnsiTheme="minorAscii"/>
          <w:i w:val="0"/>
          <w:iCs w:val="0"/>
          <w:caps w:val="0"/>
          <w:color w:val="000000"/>
          <w:spacing w:val="0"/>
          <w:sz w:val="24"/>
          <w:szCs w:val="24"/>
          <w:shd w:val="clear" w:fill="FFFFFF"/>
          <w:lang w:val="en-IN"/>
        </w:rPr>
        <w:t xml:space="preserve"> </w:t>
      </w:r>
      <w:r>
        <w:rPr>
          <w:rFonts w:hint="default" w:eastAsia="SimSun" w:cs="Times New Roman" w:asciiTheme="minorAscii" w:hAnsiTheme="minorAscii"/>
          <w:i w:val="0"/>
          <w:iCs w:val="0"/>
          <w:caps w:val="0"/>
          <w:color w:val="000000"/>
          <w:spacing w:val="0"/>
          <w:sz w:val="24"/>
          <w:szCs w:val="24"/>
          <w:shd w:val="clear" w:fill="FFFFFF"/>
        </w:rPr>
        <w:t>Specific inhibition of α7nAChR in human macrophages causes overzealous production of inflammatory cytokines and prevents the potential of either ACh or nicotine to inhibit the production of inflammatory cytokines in human macrophages</w:t>
      </w:r>
      <w:r>
        <w:rPr>
          <w:rFonts w:hint="default" w:eastAsia="SimSun" w:cs="Times New Roman" w:asciiTheme="minorAscii" w:hAnsiTheme="minorAscii"/>
          <w:i w:val="0"/>
          <w:iCs w:val="0"/>
          <w:caps w:val="0"/>
          <w:color w:val="000000"/>
          <w:spacing w:val="0"/>
          <w:sz w:val="24"/>
          <w:szCs w:val="24"/>
          <w:shd w:val="clear" w:fill="FFFFFF"/>
          <w:lang w:val="en-IN"/>
        </w:rPr>
        <w:t>. E</w:t>
      </w:r>
      <w:r>
        <w:rPr>
          <w:rFonts w:hint="default" w:eastAsia="SimSun" w:cs="Times New Roman" w:asciiTheme="minorAscii" w:hAnsiTheme="minorAscii"/>
          <w:i w:val="0"/>
          <w:iCs w:val="0"/>
          <w:caps w:val="0"/>
          <w:color w:val="000000"/>
          <w:spacing w:val="0"/>
          <w:sz w:val="24"/>
          <w:szCs w:val="24"/>
          <w:shd w:val="clear" w:fill="FFFFFF"/>
        </w:rPr>
        <w:t>lectrical stimulation of the vagus nerve in rodent models induces the production of ACh and inhibits systemic inflammation for wild-type but not α7nAChR-KO mice with experimental sepsis induced by either endotoxemia or polymicrobial peritonitis. Acute lung injury and ARDS are often derived from sepsis-induced pulmonary inflammation</w:t>
      </w:r>
      <w:r>
        <w:rPr>
          <w:rFonts w:hint="default" w:eastAsia="SimSun" w:cs="Times New Roman" w:asciiTheme="minorAscii" w:hAnsiTheme="minorAscii"/>
          <w:i w:val="0"/>
          <w:iCs w:val="0"/>
          <w:caps w:val="0"/>
          <w:color w:val="000000"/>
          <w:spacing w:val="0"/>
          <w:sz w:val="24"/>
          <w:szCs w:val="24"/>
          <w:shd w:val="clear" w:fill="FFFFFF"/>
          <w:lang w:val="en-IN"/>
        </w:rPr>
        <w:t xml:space="preserve"> and </w:t>
      </w:r>
      <w:r>
        <w:rPr>
          <w:rFonts w:hint="default" w:eastAsia="SimSun" w:cs="Times New Roman" w:asciiTheme="minorAscii" w:hAnsiTheme="minorAscii"/>
          <w:i w:val="0"/>
          <w:iCs w:val="0"/>
          <w:caps w:val="0"/>
          <w:color w:val="000000"/>
          <w:spacing w:val="0"/>
          <w:sz w:val="24"/>
          <w:szCs w:val="24"/>
          <w:shd w:val="clear" w:fill="FFFFFF"/>
        </w:rPr>
        <w:t>alveolar injury to the lungs as a result of mechanical ventilation (ventilator-induced lung injury) is enhanced by concomitant inflammation.</w:t>
      </w:r>
      <w:r>
        <w:rPr>
          <w:rFonts w:hint="default" w:eastAsia="SimSun" w:cs="Times New Roman" w:asciiTheme="minorAscii" w:hAnsiTheme="minorAscii"/>
          <w:i w:val="0"/>
          <w:iCs w:val="0"/>
          <w:caps w:val="0"/>
          <w:color w:val="000000"/>
          <w:spacing w:val="0"/>
          <w:sz w:val="24"/>
          <w:szCs w:val="24"/>
          <w:shd w:val="clear" w:fill="FFFFFF"/>
          <w:lang w:val="en-IN"/>
        </w:rPr>
        <w:t xml:space="preserve"> S</w:t>
      </w:r>
      <w:r>
        <w:rPr>
          <w:rFonts w:hint="default" w:eastAsia="SimSun" w:cs="Times New Roman" w:asciiTheme="minorAscii" w:hAnsiTheme="minorAscii"/>
          <w:i w:val="0"/>
          <w:iCs w:val="0"/>
          <w:caps w:val="0"/>
          <w:color w:val="000000"/>
          <w:spacing w:val="0"/>
          <w:sz w:val="24"/>
          <w:szCs w:val="24"/>
          <w:shd w:val="clear" w:fill="FFFFFF"/>
        </w:rPr>
        <w:t>urgical vagotomy in animals undergoing mechanical ventilation increased alveolar damage that is associated with robust production of inflammatory cytokines such as IL-6 . Therefore, electrical or pharmacological vagal nerve activation attenuates lung injury by modulating the inflammatory response and subsequently cellular damage and organ injury and failure. Finally, vagus nerve stimulation (VNS) also eases the downstream effects of cytokine activation on systemic coagulation in rodent models . This supports the current prevailing concept that dysregulated endothelial inflammation upregulates thrombin generation in COVID-19-associated thrombus formation. </w:t>
      </w:r>
      <w:r>
        <w:rPr>
          <w:rFonts w:hint="default" w:eastAsia="SimSun" w:cs="Times New Roman" w:asciiTheme="minorAscii" w:hAnsiTheme="minorAscii"/>
          <w:i w:val="0"/>
          <w:iCs w:val="0"/>
          <w:caps w:val="0"/>
          <w:color w:val="000000"/>
          <w:spacing w:val="0"/>
          <w:sz w:val="24"/>
          <w:szCs w:val="24"/>
          <w:shd w:val="clear" w:fill="FFFFFF"/>
          <w:lang w:val="en-IN"/>
        </w:rPr>
        <w:t>P</w:t>
      </w:r>
      <w:r>
        <w:rPr>
          <w:rFonts w:hint="default" w:eastAsia="SimSun" w:cs="Times New Roman" w:asciiTheme="minorAscii" w:hAnsiTheme="minorAscii"/>
          <w:i w:val="0"/>
          <w:iCs w:val="0"/>
          <w:caps w:val="0"/>
          <w:color w:val="000000"/>
          <w:spacing w:val="0"/>
          <w:sz w:val="24"/>
          <w:szCs w:val="24"/>
          <w:shd w:val="clear" w:fill="FFFFFF"/>
        </w:rPr>
        <w:t>atients with an increased vagal tone might be protected from a cytokine release syndrome.</w:t>
      </w:r>
      <w:r>
        <w:rPr>
          <w:rFonts w:hint="default" w:cs="Times New Roman" w:asciiTheme="minorAscii" w:hAnsiTheme="minorAscii"/>
          <w:i w:val="0"/>
          <w:iCs w:val="0"/>
          <w:caps w:val="0"/>
          <w:color w:val="000000"/>
          <w:spacing w:val="0"/>
          <w:sz w:val="24"/>
          <w:szCs w:val="24"/>
          <w:shd w:val="clear" w:fill="FFFFFF"/>
          <w:lang w:val="en-IN"/>
        </w:rPr>
        <w:t xml:space="preserve"> </w:t>
      </w:r>
      <w:r>
        <w:rPr>
          <w:rFonts w:hint="default" w:eastAsia="SimSun" w:cs="Times New Roman" w:asciiTheme="minorAscii" w:hAnsiTheme="minorAscii"/>
          <w:i w:val="0"/>
          <w:iCs w:val="0"/>
          <w:caps w:val="0"/>
          <w:color w:val="000000"/>
          <w:spacing w:val="0"/>
          <w:sz w:val="24"/>
          <w:szCs w:val="24"/>
          <w:shd w:val="clear" w:fill="FFFFFF"/>
        </w:rPr>
        <w:t xml:space="preserve">The observation of </w:t>
      </w:r>
      <w:r>
        <w:rPr>
          <w:rFonts w:hint="default" w:eastAsia="SimSun" w:cs="Times New Roman" w:asciiTheme="minorAscii" w:hAnsiTheme="minorAscii"/>
          <w:b w:val="0"/>
          <w:bCs w:val="0"/>
          <w:i w:val="0"/>
          <w:iCs w:val="0"/>
          <w:caps w:val="0"/>
          <w:color w:val="000000"/>
          <w:spacing w:val="0"/>
          <w:sz w:val="24"/>
          <w:szCs w:val="24"/>
          <w:shd w:val="clear" w:fill="FFFFFF"/>
        </w:rPr>
        <w:t xml:space="preserve">lower rates of symptomatic COVID-19 infections in active smokers </w:t>
      </w:r>
      <w:r>
        <w:rPr>
          <w:rFonts w:hint="default" w:eastAsia="SimSun" w:cs="Times New Roman" w:asciiTheme="minorAscii" w:hAnsiTheme="minorAscii"/>
          <w:i w:val="0"/>
          <w:iCs w:val="0"/>
          <w:caps w:val="0"/>
          <w:color w:val="000000"/>
          <w:spacing w:val="0"/>
          <w:sz w:val="24"/>
          <w:szCs w:val="24"/>
          <w:shd w:val="clear" w:fill="FFFFFF"/>
        </w:rPr>
        <w:t>potentially suggests that active nicotine exposure activates the cholinergic anti-inflammatory pathway, previously shown to be protective in various infectious illnesses, despite the deleterious effects of tobaccos use</w:t>
      </w:r>
      <w:r>
        <w:rPr>
          <w:rFonts w:hint="default" w:eastAsia="SimSun" w:cs="Times New Roman" w:asciiTheme="minorAscii" w:hAnsiTheme="minorAscii"/>
          <w:i w:val="0"/>
          <w:iCs w:val="0"/>
          <w:caps w:val="0"/>
          <w:color w:val="000000"/>
          <w:spacing w:val="0"/>
          <w:sz w:val="24"/>
          <w:szCs w:val="24"/>
          <w:shd w:val="clear" w:fill="FFFFFF"/>
          <w:lang w:val="en-IN"/>
        </w:rPr>
        <w:t>.</w:t>
      </w:r>
      <w:r>
        <w:rPr>
          <w:rFonts w:hint="default" w:eastAsia="SimSun" w:cs="Times New Roman" w:asciiTheme="minorAscii" w:hAnsiTheme="minorAscii"/>
          <w:i w:val="0"/>
          <w:iCs w:val="0"/>
          <w:caps w:val="0"/>
          <w:color w:val="000000"/>
          <w:spacing w:val="0"/>
          <w:sz w:val="24"/>
          <w:szCs w:val="24"/>
          <w:shd w:val="clear" w:fill="FFFFFF"/>
        </w:rPr>
        <w:t>  </w:t>
      </w:r>
      <w:r>
        <w:rPr>
          <w:rFonts w:hint="default" w:eastAsia="SimSun" w:cs="Times New Roman" w:asciiTheme="minorAscii" w:hAnsiTheme="minorAscii"/>
          <w:i w:val="0"/>
          <w:iCs w:val="0"/>
          <w:caps w:val="0"/>
          <w:color w:val="000000"/>
          <w:spacing w:val="0"/>
          <w:sz w:val="24"/>
          <w:szCs w:val="24"/>
          <w:shd w:val="clear" w:fill="FFFFFF"/>
          <w:lang w:val="en-IN"/>
        </w:rPr>
        <w:t>A</w:t>
      </w:r>
      <w:r>
        <w:rPr>
          <w:rFonts w:hint="default" w:eastAsia="SimSun" w:cs="Times New Roman" w:asciiTheme="minorAscii" w:hAnsiTheme="minorAscii"/>
          <w:i w:val="0"/>
          <w:iCs w:val="0"/>
          <w:caps w:val="0"/>
          <w:color w:val="000000"/>
          <w:spacing w:val="0"/>
          <w:sz w:val="24"/>
          <w:szCs w:val="24"/>
          <w:shd w:val="clear" w:fill="FFFFFF"/>
        </w:rPr>
        <w:t xml:space="preserve"> milder COVID-19 disease course in children, who have a naturally higher vagal tone , even in an infectious setting, could support the significance of the cholinergic anti-inflammatory pathway uniquely in COVID-19 patients.</w:t>
      </w:r>
    </w:p>
    <w:p>
      <w:pPr>
        <w:rPr>
          <w:rFonts w:hint="default" w:eastAsia="SimSun" w:cs="Times New Roman" w:asciiTheme="minorAscii" w:hAnsiTheme="minorAscii"/>
          <w:i w:val="0"/>
          <w:iCs w:val="0"/>
          <w:caps w:val="0"/>
          <w:color w:val="000000"/>
          <w:spacing w:val="0"/>
          <w:sz w:val="24"/>
          <w:szCs w:val="24"/>
          <w:shd w:val="clear" w:fill="FFFFFF"/>
        </w:rPr>
      </w:pPr>
    </w:p>
    <w:p>
      <w:pPr>
        <w:ind w:firstLine="720" w:firstLineChars="300"/>
        <w:jc w:val="both"/>
        <w:rPr>
          <w:rFonts w:hint="default" w:eastAsia="SimSun" w:cs="SimSun" w:asciiTheme="minorAscii" w:hAnsiTheme="minorAscii"/>
          <w:sz w:val="24"/>
          <w:szCs w:val="24"/>
          <w:lang w:val="en-IN"/>
        </w:rPr>
      </w:pPr>
      <w:r>
        <w:rPr>
          <w:rFonts w:hint="default" w:cs="Arial" w:asciiTheme="minorAscii" w:hAnsiTheme="minorAscii"/>
          <w:i w:val="0"/>
          <w:iCs w:val="0"/>
          <w:caps w:val="0"/>
          <w:color w:val="000000" w:themeColor="text1"/>
          <w:spacing w:val="0"/>
          <w:sz w:val="24"/>
          <w:szCs w:val="24"/>
          <w:shd w:val="clear" w:fill="FFFFFF"/>
          <w14:textFill>
            <w14:solidFill>
              <w14:schemeClr w14:val="tx1"/>
            </w14:solidFill>
          </w14:textFill>
        </w:rPr>
        <w:t>Targeting the Cholinergic Anti-inflammatory Pathway via Vagus Nerve Stimulation</w:t>
      </w:r>
      <w:r>
        <w:rPr>
          <w:rFonts w:hint="default" w:cs="Arial" w:asciiTheme="minorAscii" w:hAnsiTheme="minorAscii"/>
          <w:i w:val="0"/>
          <w:iCs w:val="0"/>
          <w:caps w:val="0"/>
          <w:color w:val="000000" w:themeColor="text1"/>
          <w:spacing w:val="0"/>
          <w:sz w:val="24"/>
          <w:szCs w:val="24"/>
          <w:shd w:val="clear" w:fill="FFFFFF"/>
          <w:lang w:val="en-IN"/>
          <w14:textFill>
            <w14:solidFill>
              <w14:schemeClr w14:val="tx1"/>
            </w14:solidFill>
          </w14:textFill>
        </w:rPr>
        <w:t>,</w:t>
      </w:r>
      <w:r>
        <w:rPr>
          <w:rFonts w:hint="default" w:eastAsia="SimSun" w:cs="Times New Roman" w:asciiTheme="minorAscii" w:hAnsiTheme="minorAscii"/>
          <w:i w:val="0"/>
          <w:iCs w:val="0"/>
          <w:caps w:val="0"/>
          <w:color w:val="000000"/>
          <w:spacing w:val="0"/>
          <w:sz w:val="24"/>
          <w:szCs w:val="24"/>
          <w:shd w:val="clear" w:fill="FFFFFF"/>
        </w:rPr>
        <w:t xml:space="preserve"> reduced blood C-reactive protein (CRP) and significantly lowered serum levels of inflammatory cytokines such as TNF-α and IL-6 in patients after 3 months of treatment</w:t>
      </w:r>
      <w:r>
        <w:rPr>
          <w:rFonts w:hint="default" w:cs="Times New Roman" w:asciiTheme="minorAscii" w:hAnsiTheme="minorAscii"/>
          <w:i w:val="0"/>
          <w:iCs w:val="0"/>
          <w:caps w:val="0"/>
          <w:color w:val="000000"/>
          <w:spacing w:val="0"/>
          <w:sz w:val="24"/>
          <w:szCs w:val="24"/>
          <w:shd w:val="clear" w:fill="FFFFFF"/>
          <w:lang w:val="en-IN"/>
        </w:rPr>
        <w:t>.</w:t>
      </w:r>
      <w:r>
        <w:rPr>
          <w:rFonts w:hint="default" w:eastAsia="SimSun" w:cs="Times New Roman" w:asciiTheme="minorAscii" w:hAnsiTheme="minorAscii"/>
          <w:i w:val="0"/>
          <w:iCs w:val="0"/>
          <w:caps w:val="0"/>
          <w:color w:val="000000"/>
          <w:spacing w:val="0"/>
          <w:sz w:val="24"/>
          <w:szCs w:val="24"/>
          <w:shd w:val="clear" w:fill="FFFFFF"/>
        </w:rPr>
        <w:t xml:space="preserve"> Clinically, VNS can be achieved pharmacologically or electrically via invasive cervical vagal stimulation or non-invasively via the ear or by electroacupuncture. Importantly, nAChR plays a role in the expression of ACE2 , which has been identified as the key target receptor of SARS-CoV2 . Thus, </w:t>
      </w:r>
      <w:r>
        <w:rPr>
          <w:rFonts w:hint="default" w:eastAsia="SimSun" w:cs="Times New Roman" w:asciiTheme="minorAscii" w:hAnsiTheme="minorAscii"/>
          <w:b w:val="0"/>
          <w:bCs w:val="0"/>
          <w:i w:val="0"/>
          <w:iCs w:val="0"/>
          <w:caps w:val="0"/>
          <w:color w:val="000000"/>
          <w:spacing w:val="0"/>
          <w:sz w:val="24"/>
          <w:szCs w:val="24"/>
          <w:shd w:val="clear" w:fill="FFFFFF"/>
        </w:rPr>
        <w:t>vagal stimulation can potentially prevent SARS-CoV2 propagation by inhibiting ACE2 expression.</w:t>
      </w:r>
      <w:r>
        <w:rPr>
          <w:rFonts w:hint="default" w:eastAsia="SimSun" w:cs="SimSun" w:asciiTheme="minorAscii" w:hAnsiTheme="minorAscii"/>
          <w:sz w:val="24"/>
          <w:szCs w:val="24"/>
        </w:rPr>
        <w:t xml:space="preserve"> Ongoing and future efforts will determine the potential utility of autonomic nerve modulation in the prevention and treatment of COVID-19</w:t>
      </w:r>
      <w:r>
        <w:rPr>
          <w:rFonts w:hint="default" w:eastAsia="SimSun" w:cs="SimSun" w:asciiTheme="minorAscii" w:hAnsiTheme="minorAscii"/>
          <w:sz w:val="24"/>
          <w:szCs w:val="24"/>
          <w:lang w:val="en-IN"/>
        </w:rPr>
        <w:t>.</w:t>
      </w:r>
    </w:p>
    <w:p>
      <w:pPr>
        <w:ind w:firstLine="720" w:firstLineChars="300"/>
        <w:jc w:val="both"/>
        <w:rPr>
          <w:rFonts w:hint="default" w:eastAsia="SimSun" w:cs="SimSun" w:asciiTheme="minorAscii" w:hAnsiTheme="minorAscii"/>
          <w:sz w:val="24"/>
          <w:szCs w:val="24"/>
          <w:lang w:val="en-IN"/>
        </w:rPr>
      </w:pPr>
      <w:r>
        <w:rPr>
          <w:rFonts w:ascii="SimSun" w:hAnsi="SimSun" w:eastAsia="SimSun" w:cs="SimSun"/>
          <w:sz w:val="24"/>
          <w:szCs w:val="24"/>
        </w:rPr>
        <w:drawing>
          <wp:anchor distT="0" distB="0" distL="114300" distR="114300" simplePos="0" relativeHeight="251660288" behindDoc="0" locked="0" layoutInCell="1" allowOverlap="1">
            <wp:simplePos x="0" y="0"/>
            <wp:positionH relativeFrom="column">
              <wp:posOffset>57150</wp:posOffset>
            </wp:positionH>
            <wp:positionV relativeFrom="paragraph">
              <wp:posOffset>173355</wp:posOffset>
            </wp:positionV>
            <wp:extent cx="4904740" cy="3094355"/>
            <wp:effectExtent l="0" t="0" r="10160" b="10795"/>
            <wp:wrapSquare wrapText="bothSides"/>
            <wp:docPr id="2"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MG_256"/>
                    <pic:cNvPicPr>
                      <a:picLocks noChangeAspect="1"/>
                    </pic:cNvPicPr>
                  </pic:nvPicPr>
                  <pic:blipFill>
                    <a:blip r:embed="rId4"/>
                    <a:stretch>
                      <a:fillRect/>
                    </a:stretch>
                  </pic:blipFill>
                  <pic:spPr>
                    <a:xfrm>
                      <a:off x="0" y="0"/>
                      <a:ext cx="4904740" cy="3094355"/>
                    </a:xfrm>
                    <a:prstGeom prst="rect">
                      <a:avLst/>
                    </a:prstGeom>
                    <a:noFill/>
                    <a:ln w="9525">
                      <a:noFill/>
                    </a:ln>
                  </pic:spPr>
                </pic:pic>
              </a:graphicData>
            </a:graphic>
          </wp:anchor>
        </w:drawing>
      </w:r>
      <w:bookmarkStart w:id="0" w:name="_GoBack"/>
      <w:bookmarkEnd w:id="0"/>
    </w:p>
    <w:p>
      <w:pPr>
        <w:rPr>
          <w:rFonts w:hint="default"/>
          <w:sz w:val="32"/>
          <w:szCs w:val="32"/>
          <w:lang w:val="en-IN"/>
        </w:rPr>
      </w:pPr>
      <w:r>
        <w:rPr>
          <w:rFonts w:hint="default"/>
          <w:sz w:val="32"/>
          <w:szCs w:val="32"/>
          <w:lang w:val="en-IN"/>
        </w:rPr>
        <w:t>Publications</w:t>
      </w:r>
    </w:p>
    <w:p>
      <w:pPr>
        <w:numPr>
          <w:ilvl w:val="0"/>
          <w:numId w:val="1"/>
        </w:numPr>
        <w:rPr>
          <w:rFonts w:hint="default" w:ascii="Verdana" w:hAnsi="Verdana" w:eastAsia="SimSun" w:cs="Verdana"/>
          <w:i w:val="0"/>
          <w:iCs w:val="0"/>
          <w:caps w:val="0"/>
          <w:color w:val="232323"/>
          <w:spacing w:val="0"/>
          <w:sz w:val="21"/>
          <w:szCs w:val="21"/>
          <w:shd w:val="clear" w:fill="FFFFFF"/>
        </w:rPr>
      </w:pPr>
      <w:r>
        <w:rPr>
          <w:rFonts w:ascii="Verdana" w:hAnsi="Verdana" w:eastAsia="SimSun" w:cs="Verdana"/>
          <w:i w:val="0"/>
          <w:iCs w:val="0"/>
          <w:caps w:val="0"/>
          <w:color w:val="232323"/>
          <w:spacing w:val="0"/>
          <w:sz w:val="21"/>
          <w:szCs w:val="21"/>
          <w:shd w:val="clear" w:fill="FFFFFF"/>
        </w:rPr>
        <w:t>Muthiah, R. (2021) Isolated Acute Rheumatic Pancreatitis—A Case Report.</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i/>
          <w:iCs/>
          <w:caps w:val="0"/>
          <w:color w:val="232323"/>
          <w:spacing w:val="0"/>
          <w:sz w:val="21"/>
          <w:szCs w:val="21"/>
          <w:shd w:val="clear" w:fill="FFFFFF"/>
        </w:rPr>
        <w:t>Case Reports in Clinical Medicine</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b/>
          <w:bCs/>
          <w:i w:val="0"/>
          <w:iCs w:val="0"/>
          <w:caps w:val="0"/>
          <w:color w:val="232323"/>
          <w:spacing w:val="0"/>
          <w:sz w:val="21"/>
          <w:szCs w:val="21"/>
          <w:shd w:val="clear" w:fill="FFFFFF"/>
        </w:rPr>
        <w:t>10</w:t>
      </w:r>
      <w:r>
        <w:rPr>
          <w:rFonts w:hint="default" w:ascii="Verdana" w:hAnsi="Verdana" w:eastAsia="SimSun" w:cs="Verdana"/>
          <w:i w:val="0"/>
          <w:iCs w:val="0"/>
          <w:caps w:val="0"/>
          <w:color w:val="232323"/>
          <w:spacing w:val="0"/>
          <w:sz w:val="21"/>
          <w:szCs w:val="21"/>
          <w:shd w:val="clear" w:fill="FFFFFF"/>
        </w:rPr>
        <w:t>, 52-77</w:t>
      </w:r>
    </w:p>
    <w:p>
      <w:pPr>
        <w:numPr>
          <w:ilvl w:val="0"/>
          <w:numId w:val="1"/>
        </w:numPr>
        <w:rPr>
          <w:rFonts w:hint="default" w:ascii="Verdana" w:hAnsi="Verdana" w:eastAsia="SimSun" w:cs="Verdana"/>
          <w:i w:val="0"/>
          <w:iCs w:val="0"/>
          <w:caps w:val="0"/>
          <w:color w:val="232323"/>
          <w:spacing w:val="0"/>
          <w:sz w:val="21"/>
          <w:szCs w:val="21"/>
          <w:shd w:val="clear" w:fill="FFFFFF"/>
          <w:lang w:val="en-IN"/>
        </w:rPr>
      </w:pPr>
      <w:r>
        <w:rPr>
          <w:rFonts w:ascii="Verdana" w:hAnsi="Verdana" w:eastAsia="SimSun" w:cs="Verdana"/>
          <w:i w:val="0"/>
          <w:iCs w:val="0"/>
          <w:caps w:val="0"/>
          <w:color w:val="232323"/>
          <w:spacing w:val="0"/>
          <w:sz w:val="21"/>
          <w:szCs w:val="21"/>
          <w:shd w:val="clear" w:fill="FFFFFF"/>
        </w:rPr>
        <w:t>Muthiah, R. (2019) Infective Endocarditis in Tetralogy of Fallot Complicating Brain Abscess—A Case Report.</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i/>
          <w:iCs/>
          <w:caps w:val="0"/>
          <w:color w:val="232323"/>
          <w:spacing w:val="0"/>
          <w:sz w:val="21"/>
          <w:szCs w:val="21"/>
          <w:shd w:val="clear" w:fill="FFFFFF"/>
        </w:rPr>
        <w:t>Case Reports in Clinical Medicine</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b/>
          <w:bCs/>
          <w:i w:val="0"/>
          <w:iCs w:val="0"/>
          <w:caps w:val="0"/>
          <w:color w:val="232323"/>
          <w:spacing w:val="0"/>
          <w:sz w:val="21"/>
          <w:szCs w:val="21"/>
          <w:shd w:val="clear" w:fill="FFFFFF"/>
        </w:rPr>
        <w:t>8</w:t>
      </w:r>
      <w:r>
        <w:rPr>
          <w:rFonts w:hint="default" w:ascii="Verdana" w:hAnsi="Verdana" w:eastAsia="SimSun" w:cs="Verdana"/>
          <w:i w:val="0"/>
          <w:iCs w:val="0"/>
          <w:caps w:val="0"/>
          <w:color w:val="232323"/>
          <w:spacing w:val="0"/>
          <w:sz w:val="21"/>
          <w:szCs w:val="21"/>
          <w:shd w:val="clear" w:fill="FFFFFF"/>
        </w:rPr>
        <w:t>, 105-126</w:t>
      </w:r>
    </w:p>
    <w:p>
      <w:pPr>
        <w:numPr>
          <w:ilvl w:val="0"/>
          <w:numId w:val="1"/>
        </w:numPr>
        <w:rPr>
          <w:rFonts w:hint="default" w:ascii="Verdana" w:hAnsi="Verdana" w:eastAsia="SimSun" w:cs="Verdana"/>
          <w:i w:val="0"/>
          <w:iCs w:val="0"/>
          <w:caps w:val="0"/>
          <w:color w:val="232323"/>
          <w:spacing w:val="0"/>
          <w:sz w:val="21"/>
          <w:szCs w:val="21"/>
          <w:shd w:val="clear" w:fill="FFFFFF"/>
          <w:lang w:val="en-IN"/>
        </w:rPr>
      </w:pPr>
      <w:r>
        <w:rPr>
          <w:rFonts w:ascii="Verdana" w:hAnsi="Verdana" w:eastAsia="SimSun" w:cs="Verdana"/>
          <w:i w:val="0"/>
          <w:iCs w:val="0"/>
          <w:caps w:val="0"/>
          <w:color w:val="232323"/>
          <w:spacing w:val="0"/>
          <w:sz w:val="21"/>
          <w:szCs w:val="21"/>
          <w:shd w:val="clear" w:fill="FFFFFF"/>
        </w:rPr>
        <w:t>Muthiah, R. (2018) Native Aortic Valve Endocarditis—A Case Report.</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i/>
          <w:iCs/>
          <w:caps w:val="0"/>
          <w:color w:val="232323"/>
          <w:spacing w:val="0"/>
          <w:sz w:val="21"/>
          <w:szCs w:val="21"/>
          <w:shd w:val="clear" w:fill="FFFFFF"/>
        </w:rPr>
        <w:t>Case Reports in Clinical Medicine</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b/>
          <w:bCs/>
          <w:i w:val="0"/>
          <w:iCs w:val="0"/>
          <w:caps w:val="0"/>
          <w:color w:val="232323"/>
          <w:spacing w:val="0"/>
          <w:sz w:val="21"/>
          <w:szCs w:val="21"/>
          <w:shd w:val="clear" w:fill="FFFFFF"/>
        </w:rPr>
        <w:t>7</w:t>
      </w:r>
      <w:r>
        <w:rPr>
          <w:rFonts w:hint="default" w:ascii="Verdana" w:hAnsi="Verdana" w:eastAsia="SimSun" w:cs="Verdana"/>
          <w:i w:val="0"/>
          <w:iCs w:val="0"/>
          <w:caps w:val="0"/>
          <w:color w:val="232323"/>
          <w:spacing w:val="0"/>
          <w:sz w:val="21"/>
          <w:szCs w:val="21"/>
          <w:shd w:val="clear" w:fill="FFFFFF"/>
        </w:rPr>
        <w:t>, 483-504.</w:t>
      </w:r>
    </w:p>
    <w:p>
      <w:pPr>
        <w:numPr>
          <w:ilvl w:val="0"/>
          <w:numId w:val="1"/>
        </w:numPr>
        <w:rPr>
          <w:rFonts w:hint="default" w:ascii="Verdana" w:hAnsi="Verdana" w:eastAsia="SimSun" w:cs="Verdana"/>
          <w:i w:val="0"/>
          <w:iCs w:val="0"/>
          <w:caps w:val="0"/>
          <w:color w:val="232323"/>
          <w:spacing w:val="0"/>
          <w:sz w:val="21"/>
          <w:szCs w:val="21"/>
          <w:shd w:val="clear" w:fill="FFFFFF"/>
          <w:lang w:val="en-IN"/>
        </w:rPr>
      </w:pPr>
      <w:r>
        <w:rPr>
          <w:rFonts w:ascii="Verdana" w:hAnsi="Verdana" w:eastAsia="SimSun" w:cs="Verdana"/>
          <w:i w:val="0"/>
          <w:iCs w:val="0"/>
          <w:caps w:val="0"/>
          <w:color w:val="232323"/>
          <w:spacing w:val="0"/>
          <w:sz w:val="21"/>
          <w:szCs w:val="21"/>
          <w:shd w:val="clear" w:fill="FFFFFF"/>
        </w:rPr>
        <w:t>Muthiah, R. (2018) Tropical Coronary Artery Disease and Arrhythmogenic Potentials—The Changing Pattern towards Endomyocardial Fibrosis—An Analysis.</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i/>
          <w:iCs/>
          <w:caps w:val="0"/>
          <w:color w:val="232323"/>
          <w:spacing w:val="0"/>
          <w:sz w:val="21"/>
          <w:szCs w:val="21"/>
          <w:shd w:val="clear" w:fill="FFFFFF"/>
        </w:rPr>
        <w:t>Case Reports in Clinical Medicine</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b/>
          <w:bCs/>
          <w:i w:val="0"/>
          <w:iCs w:val="0"/>
          <w:caps w:val="0"/>
          <w:color w:val="232323"/>
          <w:spacing w:val="0"/>
          <w:sz w:val="21"/>
          <w:szCs w:val="21"/>
          <w:shd w:val="clear" w:fill="FFFFFF"/>
        </w:rPr>
        <w:t>7</w:t>
      </w:r>
      <w:r>
        <w:rPr>
          <w:rFonts w:hint="default" w:ascii="Verdana" w:hAnsi="Verdana" w:eastAsia="SimSun" w:cs="Verdana"/>
          <w:i w:val="0"/>
          <w:iCs w:val="0"/>
          <w:caps w:val="0"/>
          <w:color w:val="232323"/>
          <w:spacing w:val="0"/>
          <w:sz w:val="21"/>
          <w:szCs w:val="21"/>
          <w:shd w:val="clear" w:fill="FFFFFF"/>
        </w:rPr>
        <w:t>, 397-429</w:t>
      </w:r>
    </w:p>
    <w:p>
      <w:pPr>
        <w:numPr>
          <w:ilvl w:val="0"/>
          <w:numId w:val="1"/>
        </w:numPr>
        <w:rPr>
          <w:rFonts w:hint="default" w:ascii="Verdana" w:hAnsi="Verdana" w:eastAsia="SimSun" w:cs="Verdana"/>
          <w:i w:val="0"/>
          <w:iCs w:val="0"/>
          <w:caps w:val="0"/>
          <w:color w:val="232323"/>
          <w:spacing w:val="0"/>
          <w:sz w:val="21"/>
          <w:szCs w:val="21"/>
          <w:shd w:val="clear" w:fill="FFFFFF"/>
          <w:lang w:val="en-IN"/>
        </w:rPr>
      </w:pPr>
      <w:r>
        <w:rPr>
          <w:rFonts w:hint="default"/>
          <w:color w:val="000000" w:themeColor="text1"/>
          <w:sz w:val="28"/>
          <w:szCs w:val="28"/>
          <w:lang w:val="en-IN"/>
          <w14:textFill>
            <w14:solidFill>
              <w14:schemeClr w14:val="tx1"/>
            </w14:solidFill>
          </w14:textFill>
        </w:rPr>
        <w:drawing>
          <wp:anchor distT="0" distB="0" distL="114300" distR="114300" simplePos="0" relativeHeight="251659264" behindDoc="0" locked="0" layoutInCell="1" allowOverlap="1">
            <wp:simplePos x="0" y="0"/>
            <wp:positionH relativeFrom="column">
              <wp:posOffset>3848735</wp:posOffset>
            </wp:positionH>
            <wp:positionV relativeFrom="paragraph">
              <wp:posOffset>484505</wp:posOffset>
            </wp:positionV>
            <wp:extent cx="1096010" cy="1200785"/>
            <wp:effectExtent l="0" t="0" r="8890" b="18415"/>
            <wp:wrapSquare wrapText="bothSides"/>
            <wp:docPr id="1" name="Picture 1"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icture1"/>
                    <pic:cNvPicPr>
                      <a:picLocks noChangeAspect="1"/>
                    </pic:cNvPicPr>
                  </pic:nvPicPr>
                  <pic:blipFill>
                    <a:blip r:embed="rId5"/>
                    <a:stretch>
                      <a:fillRect/>
                    </a:stretch>
                  </pic:blipFill>
                  <pic:spPr>
                    <a:xfrm>
                      <a:off x="0" y="0"/>
                      <a:ext cx="1096010" cy="1200785"/>
                    </a:xfrm>
                    <a:prstGeom prst="rect">
                      <a:avLst/>
                    </a:prstGeom>
                  </pic:spPr>
                </pic:pic>
              </a:graphicData>
            </a:graphic>
          </wp:anchor>
        </w:drawing>
      </w:r>
      <w:r>
        <w:rPr>
          <w:rFonts w:ascii="Verdana" w:hAnsi="Verdana" w:eastAsia="SimSun" w:cs="Verdana"/>
          <w:i w:val="0"/>
          <w:iCs w:val="0"/>
          <w:caps w:val="0"/>
          <w:color w:val="232323"/>
          <w:spacing w:val="0"/>
          <w:sz w:val="21"/>
          <w:szCs w:val="21"/>
          <w:shd w:val="clear" w:fill="FFFFFF"/>
        </w:rPr>
        <w:t>Muthiah, R. (2018) Isolated Patent Ductus Arteriosus in an Elderly Female, Aged 65 Years—A Case Report.</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i/>
          <w:iCs/>
          <w:caps w:val="0"/>
          <w:color w:val="232323"/>
          <w:spacing w:val="0"/>
          <w:sz w:val="21"/>
          <w:szCs w:val="21"/>
          <w:shd w:val="clear" w:fill="FFFFFF"/>
        </w:rPr>
        <w:t>Case Reports in Clinical Medicine</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b/>
          <w:bCs/>
          <w:i w:val="0"/>
          <w:iCs w:val="0"/>
          <w:caps w:val="0"/>
          <w:color w:val="232323"/>
          <w:spacing w:val="0"/>
          <w:sz w:val="21"/>
          <w:szCs w:val="21"/>
          <w:shd w:val="clear" w:fill="FFFFFF"/>
        </w:rPr>
        <w:t>7</w:t>
      </w:r>
      <w:r>
        <w:rPr>
          <w:rFonts w:hint="default" w:ascii="Verdana" w:hAnsi="Verdana" w:eastAsia="SimSun" w:cs="Verdana"/>
          <w:i w:val="0"/>
          <w:iCs w:val="0"/>
          <w:caps w:val="0"/>
          <w:color w:val="232323"/>
          <w:spacing w:val="0"/>
          <w:sz w:val="21"/>
          <w:szCs w:val="21"/>
          <w:shd w:val="clear" w:fill="FFFFFF"/>
        </w:rPr>
        <w:t>, 352-379.</w:t>
      </w:r>
    </w:p>
    <w:p>
      <w:pPr>
        <w:ind w:firstLine="720" w:firstLineChars="300"/>
        <w:jc w:val="both"/>
        <w:rPr>
          <w:rFonts w:hint="default" w:eastAsia="SimSun" w:cs="SimSun" w:asciiTheme="minorAscii" w:hAnsiTheme="minorAscii"/>
          <w:sz w:val="24"/>
          <w:szCs w:val="24"/>
          <w:lang w:val="en-IN"/>
        </w:rPr>
      </w:pPr>
    </w:p>
    <w:p>
      <w:pPr>
        <w:ind w:firstLine="720" w:firstLineChars="300"/>
        <w:jc w:val="both"/>
        <w:rPr>
          <w:rFonts w:hint="default" w:eastAsia="SimSun" w:cs="SimSun" w:asciiTheme="minorAscii" w:hAnsiTheme="minorAscii"/>
          <w:sz w:val="24"/>
          <w:szCs w:val="24"/>
          <w:lang w:val="en-IN"/>
        </w:rPr>
      </w:pPr>
    </w:p>
    <w:p>
      <w:pPr>
        <w:ind w:firstLine="720" w:firstLineChars="300"/>
        <w:jc w:val="both"/>
        <w:rPr>
          <w:rFonts w:hint="default" w:eastAsia="SimSun" w:cs="SimSun" w:asciiTheme="minorAscii" w:hAnsiTheme="minorAscii"/>
          <w:sz w:val="24"/>
          <w:szCs w:val="24"/>
          <w:lang w:val="en-IN"/>
        </w:rPr>
      </w:pPr>
    </w:p>
    <w:p>
      <w:pPr>
        <w:ind w:firstLine="720" w:firstLineChars="300"/>
        <w:jc w:val="both"/>
        <w:rPr>
          <w:rFonts w:hint="default" w:eastAsia="SimSun" w:cs="SimSun" w:asciiTheme="minorAscii" w:hAnsiTheme="minorAscii"/>
          <w:sz w:val="24"/>
          <w:szCs w:val="24"/>
          <w:lang w:val="en-IN"/>
        </w:rPr>
      </w:pPr>
    </w:p>
    <w:p>
      <w:pPr>
        <w:ind w:firstLine="720" w:firstLineChars="300"/>
        <w:jc w:val="both"/>
        <w:rPr>
          <w:rFonts w:hint="default" w:eastAsia="SimSun" w:cs="SimSun" w:asciiTheme="minorAscii" w:hAnsiTheme="minorAscii"/>
          <w:sz w:val="24"/>
          <w:szCs w:val="24"/>
          <w:lang w:val="en-IN"/>
        </w:rPr>
      </w:pPr>
    </w:p>
    <w:p>
      <w:pPr>
        <w:ind w:firstLine="720" w:firstLineChars="300"/>
        <w:jc w:val="both"/>
        <w:rPr>
          <w:rFonts w:hint="default" w:eastAsia="SimSun" w:cs="SimSun" w:asciiTheme="minorAscii" w:hAnsiTheme="minorAscii"/>
          <w:sz w:val="24"/>
          <w:szCs w:val="24"/>
          <w:lang w:val="en-IN"/>
        </w:rPr>
      </w:pPr>
    </w:p>
    <w:p>
      <w:pPr>
        <w:ind w:firstLine="720" w:firstLineChars="300"/>
        <w:jc w:val="both"/>
        <w:rPr>
          <w:rFonts w:hint="default" w:eastAsia="SimSun" w:cs="SimSun" w:asciiTheme="minorAscii" w:hAnsiTheme="minorAscii"/>
          <w:sz w:val="24"/>
          <w:szCs w:val="24"/>
          <w:lang w:val="en-IN"/>
        </w:rPr>
      </w:pPr>
    </w:p>
    <w:p>
      <w:pPr>
        <w:jc w:val="both"/>
        <w:rPr>
          <w:rFonts w:hint="default"/>
          <w:color w:val="000000" w:themeColor="text1"/>
          <w:sz w:val="24"/>
          <w:szCs w:val="24"/>
          <w:lang w:val="en-IN"/>
          <w14:textFill>
            <w14:solidFill>
              <w14:schemeClr w14:val="tx1"/>
            </w14:solidFill>
          </w14:textFill>
        </w:rPr>
      </w:pPr>
      <w:r>
        <w:rPr>
          <w:rFonts w:hint="default"/>
          <w:color w:val="000000" w:themeColor="text1"/>
          <w:sz w:val="24"/>
          <w:szCs w:val="24"/>
          <w:lang w:val="en-IN"/>
          <w14:textFill>
            <w14:solidFill>
              <w14:schemeClr w14:val="tx1"/>
            </w14:solidFill>
          </w14:textFill>
        </w:rPr>
        <w:t>Biography</w:t>
      </w:r>
    </w:p>
    <w:p>
      <w:pPr>
        <w:shd w:val="clear" w:color="auto" w:fill="FFFFFF"/>
        <w:spacing w:after="150" w:line="240" w:lineRule="auto"/>
        <w:jc w:val="both"/>
        <w:rPr>
          <w:rFonts w:hint="default" w:ascii="Times New Roman" w:hAnsi="Times New Roman" w:eastAsia="Times New Roman" w:cs="Times New Roman"/>
          <w:color w:val="333333"/>
          <w:sz w:val="24"/>
          <w:szCs w:val="24"/>
          <w:lang w:val="en-IN"/>
        </w:rPr>
      </w:pPr>
      <w:r>
        <w:rPr>
          <w:rFonts w:ascii="Times New Roman" w:hAnsi="Times New Roman" w:eastAsia="Times New Roman" w:cs="Times New Roman"/>
          <w:color w:val="333333"/>
          <w:sz w:val="24"/>
          <w:szCs w:val="24"/>
        </w:rPr>
        <w:t xml:space="preserve">Ramachandran Muthiah, Consultant Physician &amp; Cardiologist, Zion hospital, Azhagiamandapam and Morning star hospital, Marthandam, Kanyakumari District, India. </w:t>
      </w:r>
      <w:r>
        <w:rPr>
          <w:rFonts w:hint="default" w:ascii="Times New Roman" w:hAnsi="Times New Roman" w:eastAsia="Times New Roman" w:cs="Times New Roman"/>
          <w:color w:val="333333"/>
          <w:sz w:val="24"/>
          <w:szCs w:val="24"/>
          <w:lang w:val="en-IN"/>
        </w:rPr>
        <w:t>Born on 10/5/1966.. Mother Swornam belongs to keezhkulam village and Father Muthiah belongs to Enayam thoppu and both were farmers.</w:t>
      </w:r>
      <w:r>
        <w:rPr>
          <w:rFonts w:ascii="Times New Roman" w:hAnsi="Times New Roman" w:eastAsia="Times New Roman" w:cs="Times New Roman"/>
          <w:color w:val="333333"/>
          <w:sz w:val="24"/>
          <w:szCs w:val="24"/>
        </w:rPr>
        <w:t xml:space="preserve"> Published many papers in Cardiosource, American College of Cardiology Foundation, Case Reports in Clinical Medicine (SCIRP) and Journal o</w:t>
      </w:r>
      <w:r>
        <w:rPr>
          <w:rFonts w:hint="default" w:ascii="Times New Roman" w:hAnsi="Times New Roman" w:eastAsia="Times New Roman" w:cs="Times New Roman"/>
          <w:color w:val="333333"/>
          <w:sz w:val="24"/>
          <w:szCs w:val="24"/>
          <w:lang w:val="en-IN"/>
        </w:rPr>
        <w:t>f saudi heart assocoation.</w:t>
      </w:r>
    </w:p>
    <w:p>
      <w:pPr>
        <w:shd w:val="clear" w:color="auto" w:fill="FFFFFF"/>
        <w:spacing w:after="150" w:line="240" w:lineRule="auto"/>
        <w:jc w:val="both"/>
        <w:rPr>
          <w:rFonts w:ascii="Times New Roman" w:hAnsi="Times New Roman" w:eastAsia="Times New Roman" w:cs="Times New Roman"/>
          <w:color w:val="333333"/>
          <w:sz w:val="24"/>
          <w:szCs w:val="24"/>
        </w:rPr>
      </w:pPr>
      <w:r>
        <w:rPr>
          <w:rFonts w:ascii="SimSun" w:hAnsi="SimSun" w:eastAsia="SimSun" w:cs="SimSun"/>
          <w:sz w:val="24"/>
          <w:szCs w:val="24"/>
        </w:rPr>
        <w:t xml:space="preserve">Name/Address: </w:t>
      </w:r>
      <w:r>
        <w:rPr>
          <w:rFonts w:ascii="Times New Roman" w:hAnsi="Times New Roman" w:eastAsia="Times New Roman" w:cs="Times New Roman"/>
          <w:color w:val="333333"/>
          <w:sz w:val="24"/>
          <w:szCs w:val="24"/>
        </w:rPr>
        <w:t>Ramachandran Muthiah</w:t>
      </w:r>
    </w:p>
    <w:p>
      <w:pPr>
        <w:shd w:val="clear" w:color="auto" w:fill="FFFFFF"/>
        <w:spacing w:after="150" w:line="240" w:lineRule="auto"/>
        <w:ind w:left="1680" w:hanging="1680" w:hangingChars="700"/>
        <w:jc w:val="both"/>
        <w:rPr>
          <w:rFonts w:hint="default" w:ascii="Times New Roman" w:hAnsi="Times New Roman" w:eastAsia="Times New Roman" w:cs="Times New Roman"/>
          <w:color w:val="333333"/>
          <w:sz w:val="24"/>
          <w:szCs w:val="24"/>
          <w:lang w:val="en-IN"/>
        </w:rPr>
      </w:pPr>
      <w:r>
        <w:rPr>
          <w:rFonts w:hint="default" w:ascii="Times New Roman" w:hAnsi="Times New Roman" w:eastAsia="Times New Roman" w:cs="Times New Roman"/>
          <w:color w:val="333333"/>
          <w:sz w:val="24"/>
          <w:szCs w:val="24"/>
          <w:lang w:val="en-IN"/>
        </w:rPr>
        <w:t xml:space="preserve">              Palaninta vilai, keezhkulam-629193, kanyakumari district, Tamil nadu state, India </w:t>
      </w:r>
    </w:p>
    <w:p>
      <w:pPr>
        <w:shd w:val="clear" w:color="auto" w:fill="FFFFFF"/>
        <w:spacing w:after="150" w:line="240" w:lineRule="auto"/>
        <w:ind w:firstLine="1680" w:firstLineChars="700"/>
        <w:jc w:val="both"/>
        <w:rPr>
          <w:rFonts w:hint="default" w:ascii="Times New Roman" w:hAnsi="Times New Roman" w:eastAsia="Times New Roman" w:cs="Times New Roman"/>
          <w:color w:val="333333"/>
          <w:sz w:val="24"/>
          <w:szCs w:val="24"/>
          <w:lang w:val="en-IN"/>
        </w:rPr>
      </w:pPr>
      <w:r>
        <w:rPr>
          <w:rFonts w:hint="default" w:ascii="Times New Roman" w:hAnsi="Times New Roman" w:eastAsia="Times New Roman" w:cs="Times New Roman"/>
          <w:color w:val="333333"/>
          <w:sz w:val="24"/>
          <w:szCs w:val="24"/>
          <w:lang w:val="en-IN"/>
        </w:rPr>
        <w:t>(landline-+914651 203014,</w:t>
      </w:r>
    </w:p>
    <w:p>
      <w:pPr>
        <w:shd w:val="clear" w:color="auto" w:fill="FFFFFF"/>
        <w:spacing w:after="150" w:line="240" w:lineRule="auto"/>
        <w:ind w:left="2366" w:leftChars="763" w:hanging="840" w:hangingChars="350"/>
        <w:jc w:val="both"/>
        <w:rPr>
          <w:rFonts w:hint="default" w:ascii="Times New Roman" w:hAnsi="Times New Roman" w:eastAsia="Times New Roman" w:cs="Times New Roman"/>
          <w:color w:val="333333"/>
          <w:sz w:val="24"/>
          <w:szCs w:val="24"/>
          <w:lang w:val="en-IN"/>
        </w:rPr>
      </w:pPr>
      <w:r>
        <w:rPr>
          <w:rFonts w:hint="default" w:ascii="Times New Roman" w:hAnsi="Times New Roman" w:eastAsia="Times New Roman" w:cs="Times New Roman"/>
          <w:color w:val="333333"/>
          <w:sz w:val="24"/>
          <w:szCs w:val="24"/>
          <w:lang w:val="en-IN"/>
        </w:rPr>
        <w:t xml:space="preserve"> mobile +91 7598755201)  </w:t>
      </w:r>
    </w:p>
    <w:p>
      <w:pPr>
        <w:shd w:val="clear" w:color="auto" w:fill="FFFFFF"/>
        <w:spacing w:after="150" w:line="240" w:lineRule="auto"/>
        <w:jc w:val="both"/>
        <w:rPr>
          <w:rFonts w:hint="default" w:ascii="SimSun" w:hAnsi="SimSun" w:eastAsia="SimSun" w:cs="SimSun"/>
          <w:sz w:val="24"/>
          <w:szCs w:val="24"/>
          <w:lang w:val="en-IN"/>
        </w:rPr>
      </w:pPr>
      <w:r>
        <w:rPr>
          <w:rFonts w:ascii="SimSun" w:hAnsi="SimSun" w:eastAsia="SimSun" w:cs="SimSun"/>
          <w:sz w:val="24"/>
          <w:szCs w:val="24"/>
        </w:rPr>
        <w:t xml:space="preserve"> Category: Ora</w:t>
      </w:r>
      <w:r>
        <w:rPr>
          <w:rFonts w:hint="default" w:ascii="SimSun" w:hAnsi="SimSun" w:eastAsia="SimSun" w:cs="SimSun"/>
          <w:sz w:val="24"/>
          <w:szCs w:val="24"/>
          <w:lang w:val="en-IN"/>
        </w:rPr>
        <w:t>l</w:t>
      </w:r>
    </w:p>
    <w:p>
      <w:pPr>
        <w:shd w:val="clear" w:color="auto" w:fill="FFFFFF"/>
        <w:spacing w:after="150" w:line="240" w:lineRule="auto"/>
        <w:jc w:val="both"/>
        <w:rPr>
          <w:rFonts w:hint="default" w:ascii="Times New Roman" w:hAnsi="Times New Roman" w:eastAsia="Times New Roman" w:cs="Times New Roman"/>
          <w:color w:val="333333"/>
          <w:sz w:val="24"/>
          <w:szCs w:val="24"/>
          <w:lang w:val="en-IN"/>
        </w:rPr>
      </w:pPr>
      <w:r>
        <w:rPr>
          <w:rFonts w:ascii="SimSun" w:hAnsi="SimSun" w:eastAsia="SimSun" w:cs="SimSun"/>
          <w:sz w:val="24"/>
          <w:szCs w:val="24"/>
        </w:rPr>
        <w:t xml:space="preserve"> Passport No:</w:t>
      </w:r>
      <w:r>
        <w:rPr>
          <w:rFonts w:hint="default" w:ascii="SimSun" w:hAnsi="SimSun" w:eastAsia="SimSun" w:cs="SimSun"/>
          <w:sz w:val="24"/>
          <w:szCs w:val="24"/>
          <w:lang w:val="en-IN"/>
        </w:rPr>
        <w:t>P8925619</w:t>
      </w:r>
      <w:r>
        <w:rPr>
          <w:rFonts w:ascii="SimSun" w:hAnsi="SimSun" w:eastAsia="SimSun" w:cs="SimSun"/>
          <w:sz w:val="24"/>
          <w:szCs w:val="24"/>
        </w:rPr>
        <w:t xml:space="preserve"> </w:t>
      </w: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70" w:afterAutospacing="0"/>
        <w:ind w:left="0" w:right="0" w:firstLine="0"/>
        <w:textAlignment w:val="baseline"/>
        <w:rPr>
          <w:rFonts w:hint="default" w:eastAsia="SimSun" w:cs="Times New Roman" w:asciiTheme="minorAscii" w:hAnsiTheme="minorAscii"/>
          <w:i w:val="0"/>
          <w:iCs w:val="0"/>
          <w:caps w:val="0"/>
          <w:color w:val="000000"/>
          <w:spacing w:val="0"/>
          <w:sz w:val="24"/>
          <w:szCs w:val="24"/>
          <w:shd w:val="clear" w:fill="FFFFFF"/>
        </w:rPr>
      </w:pP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70" w:afterAutospacing="0"/>
        <w:ind w:left="0" w:right="0" w:firstLine="0"/>
        <w:textAlignment w:val="baseline"/>
        <w:rPr>
          <w:rFonts w:hint="default" w:ascii="Times New Roman" w:hAnsi="Times New Roman" w:eastAsia="SimSun" w:cs="Times New Roman"/>
          <w:i w:val="0"/>
          <w:iCs w:val="0"/>
          <w:caps w:val="0"/>
          <w:color w:val="000000"/>
          <w:spacing w:val="0"/>
          <w:sz w:val="24"/>
          <w:szCs w:val="24"/>
          <w:shd w:val="clear" w:fill="FFFFFF"/>
        </w:rPr>
      </w:pP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70" w:afterAutospacing="0"/>
        <w:ind w:left="0" w:right="0" w:firstLine="0"/>
        <w:textAlignment w:val="baseline"/>
        <w:rPr>
          <w:rFonts w:hint="default" w:ascii="SimSun" w:hAnsi="SimSun" w:eastAsia="SimSun" w:cs="SimSun"/>
          <w:sz w:val="24"/>
          <w:szCs w:val="24"/>
          <w:lang w:val="en-IN"/>
        </w:rPr>
      </w:pP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70" w:afterAutospacing="0"/>
        <w:ind w:left="0" w:right="0" w:firstLine="0"/>
        <w:textAlignment w:val="baseline"/>
        <w:rPr>
          <w:rFonts w:hint="default" w:ascii="Georgia" w:hAnsi="Georgia" w:eastAsia="Georgia" w:cs="Georgia"/>
          <w:i w:val="0"/>
          <w:iCs w:val="0"/>
          <w:caps w:val="0"/>
          <w:color w:val="3E3D40"/>
          <w:spacing w:val="0"/>
          <w:sz w:val="27"/>
          <w:szCs w:val="27"/>
          <w:shd w:val="clear" w:fill="FFFFFF"/>
        </w:rPr>
      </w:pP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70" w:afterAutospacing="0"/>
        <w:ind w:left="0" w:right="0" w:firstLine="0"/>
        <w:textAlignment w:val="baseline"/>
        <w:rPr>
          <w:rFonts w:hint="default" w:ascii="Georgia" w:hAnsi="Georgia" w:eastAsia="Georgia" w:cs="Georgia"/>
          <w:i w:val="0"/>
          <w:iCs w:val="0"/>
          <w:caps w:val="0"/>
          <w:color w:val="3E3D40"/>
          <w:spacing w:val="0"/>
          <w:sz w:val="27"/>
          <w:szCs w:val="27"/>
          <w:shd w:val="clear" w:fill="FFFFFF"/>
        </w:rPr>
      </w:pP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70" w:afterAutospacing="0"/>
        <w:ind w:left="0" w:right="0" w:firstLine="0"/>
        <w:textAlignment w:val="baseline"/>
        <w:rPr>
          <w:rFonts w:hint="default" w:ascii="SimSun" w:hAnsi="SimSun" w:eastAsia="SimSun" w:cs="SimSun"/>
          <w:sz w:val="24"/>
          <w:szCs w:val="24"/>
        </w:rPr>
      </w:pPr>
    </w:p>
    <w:p>
      <w:pPr>
        <w:rPr>
          <w:rFonts w:hint="default" w:ascii="Georgia" w:hAnsi="Georgia" w:eastAsia="Georgia" w:cs="Georgia"/>
          <w:b/>
          <w:bCs/>
          <w:i w:val="0"/>
          <w:iCs w:val="0"/>
          <w:caps w:val="0"/>
          <w:color w:val="3E3D40"/>
          <w:spacing w:val="0"/>
          <w:sz w:val="27"/>
          <w:szCs w:val="27"/>
          <w:shd w:val="clear" w:fill="FFFFFF"/>
          <w:lang w:val="en-IN"/>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Georgia">
    <w:panose1 w:val="02040502050405020303"/>
    <w:charset w:val="00"/>
    <w:family w:val="auto"/>
    <w:pitch w:val="default"/>
    <w:sig w:usb0="00000287" w:usb1="00000000" w:usb2="00000000" w:usb3="00000000" w:csb0="2000009F" w:csb1="00000000"/>
  </w:font>
  <w:font w:name="Segoe UI">
    <w:panose1 w:val="020B0502040204020203"/>
    <w:charset w:val="00"/>
    <w:family w:val="auto"/>
    <w:pitch w:val="default"/>
    <w:sig w:usb0="E4002EFF" w:usb1="C000E47F"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 w:name="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ongolian Baiti">
    <w:panose1 w:val="03000500000000000000"/>
    <w:charset w:val="00"/>
    <w:family w:val="auto"/>
    <w:pitch w:val="default"/>
    <w:sig w:usb0="80000023" w:usb1="00000000" w:usb2="00020000" w:usb3="00000000" w:csb0="00000001" w:csb1="00000000"/>
  </w:font>
  <w:font w:name="Verdana">
    <w:panose1 w:val="020B0604030504040204"/>
    <w:charset w:val="00"/>
    <w:family w:val="auto"/>
    <w:pitch w:val="default"/>
    <w:sig w:usb0="A00006FF" w:usb1="4000205B" w:usb2="0000001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0E77EDD"/>
    <w:multiLevelType w:val="singleLevel"/>
    <w:tmpl w:val="70E77EDD"/>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A5969BA"/>
    <w:rsid w:val="2EA16B17"/>
    <w:rsid w:val="42FF524F"/>
    <w:rsid w:val="54D43743"/>
    <w:rsid w:val="5F2D0580"/>
    <w:rsid w:val="6A5969BA"/>
    <w:rsid w:val="6F570E94"/>
    <w:rsid w:val="744957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paragraph" w:styleId="3">
    <w:name w:val="heading 3"/>
    <w:next w:val="1"/>
    <w:semiHidden/>
    <w:unhideWhenUsed/>
    <w:qFormat/>
    <w:uiPriority w:val="0"/>
    <w:pPr>
      <w:spacing w:before="0" w:beforeAutospacing="1" w:after="0" w:afterAutospacing="1"/>
      <w:jc w:val="left"/>
    </w:pPr>
    <w:rPr>
      <w:rFonts w:hint="eastAsia" w:ascii="SimSun" w:hAnsi="SimSun" w:eastAsia="SimSun" w:cs="SimSun"/>
      <w:b/>
      <w:bCs/>
      <w:kern w:val="0"/>
      <w:sz w:val="27"/>
      <w:szCs w:val="27"/>
      <w:lang w:val="en-US" w:eastAsia="zh-CN" w:bidi="ar"/>
    </w:rPr>
  </w:style>
  <w:style w:type="character" w:default="1" w:styleId="4">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character" w:styleId="6">
    <w:name w:val="Emphasis"/>
    <w:basedOn w:val="4"/>
    <w:qFormat/>
    <w:uiPriority w:val="0"/>
    <w:rPr>
      <w:i/>
      <w:iCs/>
    </w:rPr>
  </w:style>
  <w:style w:type="character" w:styleId="7">
    <w:name w:val="Hyperlink"/>
    <w:basedOn w:val="4"/>
    <w:qFormat/>
    <w:uiPriority w:val="0"/>
    <w:rPr>
      <w:color w:val="0000FF"/>
      <w:u w:val="single"/>
    </w:rPr>
  </w:style>
  <w:style w:type="paragraph" w:styleId="8">
    <w:name w:val="Normal (Web)"/>
    <w:qFormat/>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Office_11.2.0.10382_F1E327BC-269C-435d-A152-05C5408002CA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2021-12-11T05:35:00Z</dcterms:created>
  <dc:creator>PC</dc:creator>
  <cp:lastModifiedBy>PC</cp:lastModifiedBy>
  <dcterms:modified xsi:type="dcterms:W3CDTF">2021-12-14T14:19:33Z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1033-11.2.0.10382</vt:lpwstr>
  </property>
  <property fmtid="{D5CDD505-2E9C-101B-9397-08002B2CF9AE}" pid="3" name="ICV">
    <vt:lpwstr>C418FCC677DF4721B6EE3B893968951E</vt:lpwstr>
  </property>
</Properties>
</file>